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C99" w:rsidRPr="0005505D" w:rsidRDefault="002B7F6D" w:rsidP="00FC4C99">
      <w:pPr>
        <w:pStyle w:val="Header"/>
        <w:wordWrap w:val="0"/>
        <w:jc w:val="right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CCSBT-EC/</w:t>
      </w:r>
      <w:r w:rsidR="001E01F0" w:rsidRPr="0005505D">
        <w:rPr>
          <w:rFonts w:ascii="Times New Roman" w:hAnsi="Times New Roman"/>
          <w:b/>
          <w:sz w:val="24"/>
          <w:szCs w:val="24"/>
        </w:rPr>
        <w:t>1</w:t>
      </w:r>
      <w:r w:rsidR="009838AD">
        <w:rPr>
          <w:rFonts w:ascii="Times New Roman" w:hAnsi="Times New Roman"/>
          <w:b/>
          <w:sz w:val="24"/>
          <w:szCs w:val="24"/>
        </w:rPr>
        <w:t>4</w:t>
      </w:r>
      <w:r w:rsidR="006553BB" w:rsidRPr="0005505D">
        <w:rPr>
          <w:rFonts w:ascii="Times New Roman" w:hAnsi="Times New Roman"/>
          <w:b/>
          <w:sz w:val="24"/>
          <w:szCs w:val="24"/>
        </w:rPr>
        <w:t>10</w:t>
      </w:r>
      <w:r w:rsidRPr="0005505D">
        <w:rPr>
          <w:rFonts w:ascii="Times New Roman" w:hAnsi="Times New Roman"/>
          <w:b/>
          <w:sz w:val="24"/>
          <w:szCs w:val="24"/>
        </w:rPr>
        <w:t>/03</w:t>
      </w:r>
    </w:p>
    <w:p w:rsidR="00774AFD" w:rsidRPr="0005505D" w:rsidRDefault="00774AFD" w:rsidP="002176CE">
      <w:pPr>
        <w:pStyle w:val="Heading3"/>
        <w:rPr>
          <w:szCs w:val="24"/>
        </w:rPr>
      </w:pPr>
    </w:p>
    <w:p w:rsidR="00774AFD" w:rsidRPr="0005505D" w:rsidRDefault="007D0535" w:rsidP="002176CE">
      <w:pPr>
        <w:pStyle w:val="Heading3"/>
        <w:rPr>
          <w:szCs w:val="24"/>
        </w:rPr>
      </w:pPr>
      <w:r w:rsidRPr="0005505D">
        <w:rPr>
          <w:szCs w:val="24"/>
        </w:rPr>
        <w:t xml:space="preserve">Draft </w:t>
      </w:r>
      <w:r w:rsidR="00774AFD" w:rsidRPr="0005505D">
        <w:rPr>
          <w:szCs w:val="24"/>
        </w:rPr>
        <w:t>List of Documents</w:t>
      </w:r>
    </w:p>
    <w:p w:rsidR="00774AFD" w:rsidRPr="0005505D" w:rsidRDefault="00774AFD" w:rsidP="00FC4C99">
      <w:pPr>
        <w:jc w:val="center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 xml:space="preserve">The </w:t>
      </w:r>
      <w:r w:rsidR="00C20ADF" w:rsidRPr="0005505D">
        <w:rPr>
          <w:rFonts w:ascii="Times New Roman" w:hAnsi="Times New Roman"/>
          <w:b/>
          <w:sz w:val="24"/>
          <w:szCs w:val="24"/>
        </w:rPr>
        <w:t xml:space="preserve">Extended Commission of the </w:t>
      </w:r>
      <w:r w:rsidR="009838AD">
        <w:rPr>
          <w:rFonts w:ascii="Times New Roman" w:hAnsi="Times New Roman"/>
          <w:b/>
          <w:sz w:val="24"/>
          <w:szCs w:val="24"/>
          <w:lang w:val="en-GB"/>
        </w:rPr>
        <w:t>Twenty First</w:t>
      </w:r>
      <w:r w:rsidRPr="0005505D">
        <w:rPr>
          <w:rFonts w:ascii="Times New Roman" w:hAnsi="Times New Roman"/>
          <w:b/>
          <w:sz w:val="24"/>
          <w:szCs w:val="24"/>
        </w:rPr>
        <w:t xml:space="preserve"> Annual Commission Meeting</w:t>
      </w:r>
    </w:p>
    <w:p w:rsidR="002176CE" w:rsidRPr="0005505D" w:rsidRDefault="002176CE" w:rsidP="002176CE">
      <w:pPr>
        <w:jc w:val="left"/>
        <w:rPr>
          <w:rFonts w:ascii="Times New Roman" w:hAnsi="Times New Roman"/>
          <w:b/>
          <w:sz w:val="24"/>
          <w:szCs w:val="24"/>
        </w:rPr>
      </w:pPr>
    </w:p>
    <w:p w:rsidR="00774AFD" w:rsidRPr="0005505D" w:rsidRDefault="002A3BA0" w:rsidP="0092710E">
      <w:pPr>
        <w:spacing w:before="120"/>
        <w:jc w:val="left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(</w:t>
      </w:r>
      <w:r w:rsidR="00774AFD" w:rsidRPr="0005505D">
        <w:rPr>
          <w:rFonts w:ascii="Times New Roman" w:hAnsi="Times New Roman"/>
          <w:b/>
          <w:sz w:val="24"/>
          <w:szCs w:val="24"/>
        </w:rPr>
        <w:t>CCSBT</w:t>
      </w:r>
      <w:r w:rsidR="00AA015C" w:rsidRPr="0005505D">
        <w:rPr>
          <w:rFonts w:ascii="Times New Roman" w:hAnsi="Times New Roman"/>
          <w:b/>
          <w:sz w:val="24"/>
          <w:szCs w:val="24"/>
        </w:rPr>
        <w:t>-EC</w:t>
      </w:r>
      <w:r w:rsidR="00C20ADF" w:rsidRPr="0005505D">
        <w:rPr>
          <w:rFonts w:ascii="Times New Roman" w:hAnsi="Times New Roman"/>
          <w:b/>
          <w:sz w:val="24"/>
          <w:szCs w:val="24"/>
        </w:rPr>
        <w:t>/</w:t>
      </w:r>
      <w:r w:rsidR="001E01F0" w:rsidRPr="0005505D">
        <w:rPr>
          <w:rFonts w:ascii="Times New Roman" w:hAnsi="Times New Roman"/>
          <w:b/>
          <w:sz w:val="24"/>
          <w:szCs w:val="24"/>
        </w:rPr>
        <w:t>1</w:t>
      </w:r>
      <w:r w:rsidR="009838AD">
        <w:rPr>
          <w:rFonts w:ascii="Times New Roman" w:hAnsi="Times New Roman"/>
          <w:b/>
          <w:sz w:val="24"/>
          <w:szCs w:val="24"/>
        </w:rPr>
        <w:t>4</w:t>
      </w:r>
      <w:r w:rsidR="0003445F" w:rsidRPr="0005505D">
        <w:rPr>
          <w:rFonts w:ascii="Times New Roman" w:hAnsi="Times New Roman"/>
          <w:b/>
          <w:sz w:val="24"/>
          <w:szCs w:val="24"/>
        </w:rPr>
        <w:t>10</w:t>
      </w:r>
      <w:proofErr w:type="gramStart"/>
      <w:r w:rsidR="00774AFD" w:rsidRPr="0005505D">
        <w:rPr>
          <w:rFonts w:ascii="Times New Roman" w:hAnsi="Times New Roman"/>
          <w:b/>
          <w:sz w:val="24"/>
          <w:szCs w:val="24"/>
        </w:rPr>
        <w:t>/</w:t>
      </w:r>
      <w:r w:rsidRPr="0005505D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3B21CF" w:rsidRPr="0005505D" w:rsidRDefault="003B21CF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>Provisional Agenda</w:t>
      </w:r>
    </w:p>
    <w:p w:rsidR="003B21CF" w:rsidRPr="0005505D" w:rsidRDefault="003B21CF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>List of Participants</w:t>
      </w:r>
    </w:p>
    <w:p w:rsidR="003B21CF" w:rsidRPr="0005505D" w:rsidRDefault="003B21CF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>Draft List of Documents</w:t>
      </w:r>
    </w:p>
    <w:p w:rsidR="003B21CF" w:rsidRPr="0005505D" w:rsidRDefault="003B21CF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05505D">
        <w:rPr>
          <w:rFonts w:ascii="Times New Roman" w:hAnsi="Times New Roman"/>
          <w:sz w:val="24"/>
          <w:szCs w:val="24"/>
        </w:rPr>
        <w:t>Report from the Secretariat (EC agenda item 2)</w:t>
      </w:r>
    </w:p>
    <w:p w:rsidR="003B21CF" w:rsidRPr="0005505D" w:rsidRDefault="003B21CF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05505D">
        <w:rPr>
          <w:rFonts w:ascii="Times New Roman" w:hAnsi="Times New Roman"/>
          <w:sz w:val="24"/>
          <w:szCs w:val="24"/>
        </w:rPr>
        <w:t>Revised 201</w:t>
      </w:r>
      <w:r w:rsidR="009838AD">
        <w:rPr>
          <w:rFonts w:ascii="Times New Roman" w:hAnsi="Times New Roman"/>
          <w:sz w:val="24"/>
          <w:szCs w:val="24"/>
        </w:rPr>
        <w:t>4</w:t>
      </w:r>
      <w:r w:rsidR="006553BB" w:rsidRPr="0005505D">
        <w:rPr>
          <w:rFonts w:ascii="Times New Roman" w:hAnsi="Times New Roman"/>
          <w:sz w:val="24"/>
          <w:szCs w:val="24"/>
        </w:rPr>
        <w:t xml:space="preserve"> Budget (EC agenda item 3)</w:t>
      </w:r>
    </w:p>
    <w:p w:rsidR="003B21CF" w:rsidRPr="0005505D" w:rsidRDefault="003B21CF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05505D">
        <w:rPr>
          <w:rFonts w:ascii="Times New Roman" w:hAnsi="Times New Roman"/>
          <w:sz w:val="24"/>
          <w:szCs w:val="24"/>
        </w:rPr>
        <w:t>Draft 201</w:t>
      </w:r>
      <w:r w:rsidR="009838AD">
        <w:rPr>
          <w:rFonts w:ascii="Times New Roman" w:hAnsi="Times New Roman"/>
          <w:sz w:val="24"/>
          <w:szCs w:val="24"/>
        </w:rPr>
        <w:t>5</w:t>
      </w:r>
      <w:r w:rsidR="006553BB" w:rsidRPr="0005505D">
        <w:rPr>
          <w:rFonts w:ascii="Times New Roman" w:hAnsi="Times New Roman"/>
          <w:sz w:val="24"/>
          <w:szCs w:val="24"/>
        </w:rPr>
        <w:t xml:space="preserve"> Budget (EC agenda item 3)</w:t>
      </w:r>
    </w:p>
    <w:p w:rsidR="003B21CF" w:rsidRPr="0005505D" w:rsidRDefault="003B21CF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05505D">
        <w:rPr>
          <w:rFonts w:ascii="Times New Roman" w:hAnsi="Times New Roman"/>
          <w:sz w:val="24"/>
          <w:szCs w:val="24"/>
        </w:rPr>
        <w:t xml:space="preserve">Review of SBT Fisheries </w:t>
      </w:r>
      <w:r w:rsidR="009838AD">
        <w:rPr>
          <w:rFonts w:ascii="Times New Roman" w:hAnsi="Times New Roman"/>
          <w:sz w:val="24"/>
          <w:szCs w:val="24"/>
        </w:rPr>
        <w:t xml:space="preserve">and ERS Interaction (EC agenda </w:t>
      </w:r>
      <w:r w:rsidR="006553BB" w:rsidRPr="0005505D">
        <w:rPr>
          <w:rFonts w:ascii="Times New Roman" w:hAnsi="Times New Roman"/>
          <w:sz w:val="24"/>
          <w:szCs w:val="24"/>
        </w:rPr>
        <w:t>item 4)</w:t>
      </w:r>
    </w:p>
    <w:p w:rsidR="003B21CF" w:rsidRPr="0005505D" w:rsidRDefault="003B21CF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05505D">
        <w:rPr>
          <w:rFonts w:ascii="Times New Roman" w:hAnsi="Times New Roman"/>
          <w:sz w:val="24"/>
          <w:szCs w:val="24"/>
        </w:rPr>
        <w:t>Report from the Compliance Committee (EC agenda item 5)</w:t>
      </w:r>
    </w:p>
    <w:p w:rsidR="003B21CF" w:rsidRPr="0005505D" w:rsidRDefault="003B21CF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05505D">
        <w:rPr>
          <w:rFonts w:ascii="Times New Roman" w:hAnsi="Times New Roman"/>
          <w:sz w:val="24"/>
          <w:szCs w:val="24"/>
        </w:rPr>
        <w:t xml:space="preserve">Report from the Extended Scientific Committee (EC agenda item </w:t>
      </w:r>
      <w:r w:rsidR="009838AD">
        <w:rPr>
          <w:rFonts w:ascii="Times New Roman" w:hAnsi="Times New Roman"/>
          <w:sz w:val="24"/>
          <w:szCs w:val="24"/>
        </w:rPr>
        <w:t>6</w:t>
      </w:r>
      <w:r w:rsidR="006553BB" w:rsidRPr="0005505D">
        <w:rPr>
          <w:rFonts w:ascii="Times New Roman" w:hAnsi="Times New Roman"/>
          <w:sz w:val="24"/>
          <w:szCs w:val="24"/>
        </w:rPr>
        <w:t>)</w:t>
      </w:r>
    </w:p>
    <w:p w:rsidR="007D2ECD" w:rsidRDefault="003B21CF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>(Secretariat)</w:t>
      </w:r>
      <w:r w:rsidR="007D2ECD" w:rsidRPr="0005505D">
        <w:rPr>
          <w:rFonts w:ascii="Times New Roman" w:hAnsi="Times New Roman"/>
          <w:sz w:val="24"/>
          <w:szCs w:val="24"/>
        </w:rPr>
        <w:t xml:space="preserve"> </w:t>
      </w:r>
      <w:r w:rsidR="006553BB" w:rsidRPr="0005505D">
        <w:rPr>
          <w:rFonts w:ascii="Times New Roman" w:hAnsi="Times New Roman"/>
          <w:sz w:val="24"/>
          <w:szCs w:val="24"/>
        </w:rPr>
        <w:t xml:space="preserve">Total Allowable Catch and its Allocation (EC agenda item </w:t>
      </w:r>
      <w:r w:rsidR="009838AD">
        <w:rPr>
          <w:rFonts w:ascii="Times New Roman" w:hAnsi="Times New Roman"/>
          <w:sz w:val="24"/>
          <w:szCs w:val="24"/>
        </w:rPr>
        <w:t>7</w:t>
      </w:r>
      <w:r w:rsidR="006553BB" w:rsidRPr="0005505D">
        <w:rPr>
          <w:rFonts w:ascii="Times New Roman" w:hAnsi="Times New Roman"/>
          <w:sz w:val="24"/>
          <w:szCs w:val="24"/>
        </w:rPr>
        <w:t>)</w:t>
      </w:r>
    </w:p>
    <w:p w:rsidR="009838AD" w:rsidRPr="0005505D" w:rsidRDefault="009838AD" w:rsidP="009838AD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 xml:space="preserve">(Secretariat) </w:t>
      </w:r>
      <w:r>
        <w:rPr>
          <w:rFonts w:ascii="Times New Roman" w:hAnsi="Times New Roman"/>
          <w:sz w:val="24"/>
          <w:szCs w:val="24"/>
        </w:rPr>
        <w:t>Performance Review of the CCSBT</w:t>
      </w:r>
      <w:r w:rsidRPr="0005505D">
        <w:rPr>
          <w:rFonts w:ascii="Times New Roman" w:hAnsi="Times New Roman"/>
          <w:sz w:val="24"/>
          <w:szCs w:val="24"/>
        </w:rPr>
        <w:t xml:space="preserve"> (EC agenda item </w:t>
      </w:r>
      <w:r>
        <w:rPr>
          <w:rFonts w:ascii="Times New Roman" w:hAnsi="Times New Roman"/>
          <w:sz w:val="24"/>
          <w:szCs w:val="24"/>
        </w:rPr>
        <w:t>8</w:t>
      </w:r>
      <w:r w:rsidRPr="0005505D">
        <w:rPr>
          <w:rFonts w:ascii="Times New Roman" w:hAnsi="Times New Roman"/>
          <w:sz w:val="24"/>
          <w:szCs w:val="24"/>
        </w:rPr>
        <w:t>)</w:t>
      </w:r>
    </w:p>
    <w:p w:rsidR="003B21CF" w:rsidRPr="0005505D" w:rsidRDefault="007D2ECD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05505D">
        <w:rPr>
          <w:rFonts w:ascii="Times New Roman" w:hAnsi="Times New Roman"/>
          <w:sz w:val="24"/>
          <w:szCs w:val="24"/>
        </w:rPr>
        <w:t xml:space="preserve">Implementation of CCSBT Strategic Plan (EC agenda item </w:t>
      </w:r>
      <w:r w:rsidR="009838AD">
        <w:rPr>
          <w:rFonts w:ascii="Times New Roman" w:hAnsi="Times New Roman"/>
          <w:sz w:val="24"/>
          <w:szCs w:val="24"/>
        </w:rPr>
        <w:t>9</w:t>
      </w:r>
      <w:r w:rsidR="006553BB" w:rsidRPr="0005505D">
        <w:rPr>
          <w:rFonts w:ascii="Times New Roman" w:hAnsi="Times New Roman"/>
          <w:sz w:val="24"/>
          <w:szCs w:val="24"/>
        </w:rPr>
        <w:t>)</w:t>
      </w:r>
    </w:p>
    <w:p w:rsidR="003B21CF" w:rsidRPr="0005505D" w:rsidRDefault="003B21CF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05505D">
        <w:rPr>
          <w:rFonts w:ascii="Times New Roman" w:hAnsi="Times New Roman"/>
          <w:sz w:val="24"/>
          <w:szCs w:val="24"/>
        </w:rPr>
        <w:t>Cooperating Non-members (EC agenda item 11)</w:t>
      </w:r>
    </w:p>
    <w:p w:rsidR="007D2ECD" w:rsidRPr="0005505D" w:rsidRDefault="003B21CF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>(Secretariat)</w:t>
      </w:r>
      <w:r w:rsidR="007D2ECD" w:rsidRPr="0005505D">
        <w:rPr>
          <w:rFonts w:ascii="Times New Roman" w:hAnsi="Times New Roman"/>
          <w:sz w:val="24"/>
          <w:szCs w:val="24"/>
        </w:rPr>
        <w:t xml:space="preserve"> </w:t>
      </w:r>
      <w:r w:rsidR="006553BB" w:rsidRPr="0005505D">
        <w:rPr>
          <w:rFonts w:ascii="Times New Roman" w:hAnsi="Times New Roman"/>
          <w:sz w:val="24"/>
          <w:szCs w:val="24"/>
        </w:rPr>
        <w:t>Relationship with Non-members (EC agenda item 12)</w:t>
      </w:r>
      <w:r w:rsidRPr="0005505D">
        <w:rPr>
          <w:rFonts w:ascii="Times New Roman" w:hAnsi="Times New Roman"/>
          <w:sz w:val="24"/>
          <w:szCs w:val="24"/>
        </w:rPr>
        <w:t xml:space="preserve"> </w:t>
      </w:r>
    </w:p>
    <w:p w:rsidR="003B21CF" w:rsidRPr="0005505D" w:rsidRDefault="007D2ECD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05505D">
        <w:rPr>
          <w:rFonts w:ascii="Times New Roman" w:hAnsi="Times New Roman"/>
          <w:sz w:val="24"/>
          <w:szCs w:val="24"/>
        </w:rPr>
        <w:t>Kobe Process (EC agenda item 13)</w:t>
      </w:r>
    </w:p>
    <w:p w:rsidR="003B21CF" w:rsidRPr="0005505D" w:rsidRDefault="003B21CF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 xml:space="preserve">(Secretariat) </w:t>
      </w:r>
      <w:r w:rsidR="006553BB" w:rsidRPr="0005505D">
        <w:rPr>
          <w:rFonts w:ascii="Times New Roman" w:hAnsi="Times New Roman"/>
          <w:sz w:val="24"/>
          <w:szCs w:val="24"/>
        </w:rPr>
        <w:t>Activities with Other Organisations (EC agenda item 14)</w:t>
      </w:r>
    </w:p>
    <w:p w:rsidR="00F75FE7" w:rsidRPr="0005505D" w:rsidRDefault="007D2ECD" w:rsidP="00D31764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5505D">
        <w:rPr>
          <w:rFonts w:ascii="Times New Roman" w:hAnsi="Times New Roman"/>
          <w:sz w:val="24"/>
          <w:szCs w:val="24"/>
        </w:rPr>
        <w:t>(</w:t>
      </w:r>
      <w:r w:rsidR="006553BB" w:rsidRPr="0005505D">
        <w:rPr>
          <w:rFonts w:ascii="Times New Roman" w:hAnsi="Times New Roman"/>
          <w:sz w:val="24"/>
          <w:szCs w:val="24"/>
        </w:rPr>
        <w:t>Secretariat</w:t>
      </w:r>
      <w:r w:rsidRPr="0005505D">
        <w:rPr>
          <w:rFonts w:ascii="Times New Roman" w:hAnsi="Times New Roman"/>
          <w:sz w:val="24"/>
          <w:szCs w:val="24"/>
        </w:rPr>
        <w:t xml:space="preserve">) </w:t>
      </w:r>
      <w:r w:rsidR="006553BB" w:rsidRPr="0005505D">
        <w:rPr>
          <w:rFonts w:ascii="Times New Roman" w:hAnsi="Times New Roman"/>
          <w:sz w:val="24"/>
          <w:szCs w:val="24"/>
        </w:rPr>
        <w:t xml:space="preserve">Confidentiality of Data and Documents </w:t>
      </w:r>
      <w:r w:rsidR="00DF5E66">
        <w:rPr>
          <w:rFonts w:ascii="Times New Roman" w:hAnsi="Times New Roman"/>
          <w:sz w:val="24"/>
          <w:szCs w:val="24"/>
        </w:rPr>
        <w:t>(Rev.</w:t>
      </w:r>
      <w:r w:rsidR="00072E81">
        <w:rPr>
          <w:rFonts w:ascii="Times New Roman" w:hAnsi="Times New Roman"/>
          <w:sz w:val="24"/>
          <w:szCs w:val="24"/>
        </w:rPr>
        <w:t>2</w:t>
      </w:r>
      <w:r w:rsidR="00DF5E66">
        <w:rPr>
          <w:rFonts w:ascii="Times New Roman" w:hAnsi="Times New Roman"/>
          <w:sz w:val="24"/>
          <w:szCs w:val="24"/>
        </w:rPr>
        <w:t xml:space="preserve">) </w:t>
      </w:r>
      <w:r w:rsidR="006553BB" w:rsidRPr="0005505D">
        <w:rPr>
          <w:rFonts w:ascii="Times New Roman" w:hAnsi="Times New Roman"/>
          <w:sz w:val="24"/>
          <w:szCs w:val="24"/>
        </w:rPr>
        <w:t>(EC agenda item 15)</w:t>
      </w:r>
    </w:p>
    <w:p w:rsidR="00BC45EF" w:rsidRPr="001B6056" w:rsidRDefault="00BC45EF" w:rsidP="00BF796D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1B6056">
        <w:rPr>
          <w:rFonts w:ascii="Times New Roman" w:hAnsi="Times New Roman"/>
          <w:sz w:val="24"/>
          <w:szCs w:val="24"/>
        </w:rPr>
        <w:t>(SC Chair) Presentation of the Report of the 1</w:t>
      </w:r>
      <w:r w:rsidR="009838AD" w:rsidRPr="001B6056">
        <w:rPr>
          <w:rFonts w:ascii="Times New Roman" w:hAnsi="Times New Roman"/>
          <w:sz w:val="24"/>
          <w:szCs w:val="24"/>
        </w:rPr>
        <w:t>9</w:t>
      </w:r>
      <w:r w:rsidRPr="001B6056">
        <w:rPr>
          <w:rFonts w:ascii="Times New Roman" w:hAnsi="Times New Roman"/>
          <w:sz w:val="24"/>
          <w:szCs w:val="24"/>
          <w:vertAlign w:val="superscript"/>
        </w:rPr>
        <w:t>th</w:t>
      </w:r>
      <w:r w:rsidRPr="001B6056">
        <w:rPr>
          <w:rFonts w:ascii="Times New Roman" w:hAnsi="Times New Roman"/>
          <w:sz w:val="24"/>
          <w:szCs w:val="24"/>
        </w:rPr>
        <w:t xml:space="preserve"> Meeting of the Scientific Committee incorporating the Extended Scientific Committee (EC agenda item </w:t>
      </w:r>
      <w:r w:rsidR="009838AD" w:rsidRPr="001B6056">
        <w:rPr>
          <w:rFonts w:ascii="Times New Roman" w:hAnsi="Times New Roman"/>
          <w:sz w:val="24"/>
          <w:szCs w:val="24"/>
        </w:rPr>
        <w:t>6</w:t>
      </w:r>
      <w:r w:rsidRPr="001B6056">
        <w:rPr>
          <w:rFonts w:ascii="Times New Roman" w:hAnsi="Times New Roman"/>
          <w:sz w:val="24"/>
          <w:szCs w:val="24"/>
        </w:rPr>
        <w:t>)</w:t>
      </w:r>
    </w:p>
    <w:p w:rsidR="003D21BC" w:rsidRDefault="001B6056" w:rsidP="001B6056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Pr="001B6056">
        <w:rPr>
          <w:rFonts w:ascii="Times New Roman" w:hAnsi="Times New Roman"/>
          <w:sz w:val="24"/>
          <w:szCs w:val="24"/>
        </w:rPr>
        <w:t>Australia – Self-Assessment of Fishing Capacity</w:t>
      </w:r>
      <w:r>
        <w:rPr>
          <w:rFonts w:ascii="Times New Roman" w:hAnsi="Times New Roman"/>
          <w:sz w:val="24"/>
          <w:szCs w:val="24"/>
        </w:rPr>
        <w:t xml:space="preserve"> (EC agenda item 9.1.1)</w:t>
      </w:r>
    </w:p>
    <w:p w:rsidR="001B6056" w:rsidRDefault="001B6056" w:rsidP="001B6056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Pr="001B6056">
        <w:rPr>
          <w:rFonts w:ascii="Times New Roman" w:hAnsi="Times New Roman"/>
          <w:sz w:val="24"/>
          <w:szCs w:val="24"/>
        </w:rPr>
        <w:t>Draft Resolution to Mitigate the Impact on Seabirds of Fishing for Southern Bluefin Tuna</w:t>
      </w:r>
      <w:r>
        <w:rPr>
          <w:rFonts w:ascii="Times New Roman" w:hAnsi="Times New Roman"/>
          <w:sz w:val="24"/>
          <w:szCs w:val="24"/>
        </w:rPr>
        <w:t xml:space="preserve"> (EC agenda item 10)</w:t>
      </w:r>
    </w:p>
    <w:p w:rsidR="001B6056" w:rsidRDefault="001B6056" w:rsidP="001B6056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(Australia) </w:t>
      </w:r>
      <w:r w:rsidRPr="001B6056">
        <w:rPr>
          <w:rFonts w:ascii="Times New Roman" w:hAnsi="Times New Roman"/>
          <w:sz w:val="24"/>
          <w:szCs w:val="24"/>
        </w:rPr>
        <w:t>Report from the CCSBT Observer to the 32nd Annual Meeting of the Commission for the Conservation of Antarctic Marine Living Resources</w:t>
      </w:r>
      <w:r w:rsidR="00306C31">
        <w:rPr>
          <w:rFonts w:ascii="Times New Roman" w:hAnsi="Times New Roman"/>
          <w:sz w:val="24"/>
          <w:szCs w:val="24"/>
        </w:rPr>
        <w:t xml:space="preserve"> (Rev.1)</w:t>
      </w:r>
      <w:r>
        <w:rPr>
          <w:rFonts w:ascii="Times New Roman" w:hAnsi="Times New Roman"/>
          <w:sz w:val="24"/>
          <w:szCs w:val="24"/>
        </w:rPr>
        <w:t xml:space="preserve"> (EC agenda item 14)</w:t>
      </w:r>
    </w:p>
    <w:p w:rsidR="005A72F3" w:rsidRDefault="005A72F3" w:rsidP="005A72F3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(Japan) </w:t>
      </w:r>
      <w:r w:rsidRPr="005A72F3">
        <w:rPr>
          <w:rFonts w:ascii="Times New Roman" w:hAnsi="Times New Roman"/>
          <w:sz w:val="24"/>
          <w:szCs w:val="24"/>
        </w:rPr>
        <w:t>Self-Assessment of Fishing Capacity – Japan</w:t>
      </w:r>
      <w:r>
        <w:rPr>
          <w:rFonts w:ascii="Times New Roman" w:hAnsi="Times New Roman"/>
          <w:sz w:val="24"/>
          <w:szCs w:val="24"/>
        </w:rPr>
        <w:t xml:space="preserve"> (EC agenda item 9.1.1)</w:t>
      </w:r>
    </w:p>
    <w:p w:rsidR="005A72F3" w:rsidRDefault="005A72F3" w:rsidP="000F7C79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5A72F3">
        <w:rPr>
          <w:rFonts w:ascii="Times New Roman" w:hAnsi="Times New Roman"/>
          <w:sz w:val="24"/>
          <w:szCs w:val="24"/>
        </w:rPr>
        <w:t>(Japan) Report from the CCSBT Observer to the 23rd Regular Meeting of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2F3">
        <w:rPr>
          <w:rFonts w:ascii="Times New Roman" w:hAnsi="Times New Roman"/>
          <w:sz w:val="24"/>
          <w:szCs w:val="24"/>
        </w:rPr>
        <w:t>International Commission for the Conservation of Atlantic Tunas (ICCAT)</w:t>
      </w:r>
      <w:r>
        <w:rPr>
          <w:rFonts w:ascii="Times New Roman" w:hAnsi="Times New Roman"/>
          <w:sz w:val="24"/>
          <w:szCs w:val="24"/>
        </w:rPr>
        <w:t xml:space="preserve">     (EC agenda item 14)</w:t>
      </w:r>
    </w:p>
    <w:p w:rsidR="00235C7B" w:rsidRDefault="00235C7B" w:rsidP="00657AD7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235C7B">
        <w:rPr>
          <w:rFonts w:ascii="Times New Roman" w:hAnsi="Times New Roman"/>
          <w:sz w:val="24"/>
          <w:szCs w:val="24"/>
        </w:rPr>
        <w:t>(Taiwan) Taiwan Self</w:t>
      </w:r>
      <w:r>
        <w:rPr>
          <w:rFonts w:ascii="Times New Roman" w:hAnsi="Times New Roman"/>
          <w:sz w:val="24"/>
          <w:szCs w:val="24"/>
        </w:rPr>
        <w:t>-</w:t>
      </w:r>
      <w:r w:rsidRPr="00235C7B">
        <w:rPr>
          <w:rFonts w:ascii="Times New Roman" w:hAnsi="Times New Roman"/>
          <w:sz w:val="24"/>
          <w:szCs w:val="24"/>
        </w:rPr>
        <w:t>Assessment of Fishing Capacity</w:t>
      </w:r>
      <w:r>
        <w:rPr>
          <w:rFonts w:ascii="Times New Roman" w:hAnsi="Times New Roman"/>
          <w:sz w:val="24"/>
          <w:szCs w:val="24"/>
        </w:rPr>
        <w:t xml:space="preserve"> (EC agenda item 9.1.1)</w:t>
      </w:r>
    </w:p>
    <w:p w:rsidR="00755E21" w:rsidRDefault="00755E21" w:rsidP="00755E21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(Korea) </w:t>
      </w:r>
      <w:r w:rsidRPr="00755E21">
        <w:rPr>
          <w:rFonts w:ascii="Times New Roman" w:hAnsi="Times New Roman"/>
          <w:sz w:val="24"/>
          <w:szCs w:val="24"/>
        </w:rPr>
        <w:t>Korean Self-Assessment of Fishing Capacity</w:t>
      </w:r>
      <w:r>
        <w:rPr>
          <w:rFonts w:ascii="Times New Roman" w:hAnsi="Times New Roman"/>
          <w:sz w:val="24"/>
          <w:szCs w:val="24"/>
        </w:rPr>
        <w:t xml:space="preserve"> (EC agenda item 9.1.1)</w:t>
      </w:r>
    </w:p>
    <w:p w:rsidR="00755E21" w:rsidRDefault="00755E21" w:rsidP="00B54CF6">
      <w:pPr>
        <w:numPr>
          <w:ilvl w:val="0"/>
          <w:numId w:val="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755E21">
        <w:rPr>
          <w:rFonts w:ascii="Times New Roman" w:hAnsi="Times New Roman"/>
          <w:sz w:val="24"/>
          <w:szCs w:val="24"/>
        </w:rPr>
        <w:lastRenderedPageBreak/>
        <w:t>(Korea) Report from the CCSB</w:t>
      </w:r>
      <w:bookmarkStart w:id="0" w:name="_GoBack"/>
      <w:bookmarkEnd w:id="0"/>
      <w:r w:rsidRPr="00755E21">
        <w:rPr>
          <w:rFonts w:ascii="Times New Roman" w:hAnsi="Times New Roman"/>
          <w:sz w:val="24"/>
          <w:szCs w:val="24"/>
        </w:rPr>
        <w:t xml:space="preserve">T Observer to the 10th Regular Session of the Commission for the Conservation and Management of Highly Migratory Fish Stocks in the Western and Central Pacific Ocean (WCPFC) (EC agenda item </w:t>
      </w:r>
      <w:r>
        <w:rPr>
          <w:rFonts w:ascii="Times New Roman" w:hAnsi="Times New Roman"/>
          <w:sz w:val="24"/>
          <w:szCs w:val="24"/>
        </w:rPr>
        <w:t>14</w:t>
      </w:r>
      <w:r w:rsidRPr="00755E21">
        <w:rPr>
          <w:rFonts w:ascii="Times New Roman" w:hAnsi="Times New Roman"/>
          <w:sz w:val="24"/>
          <w:szCs w:val="24"/>
        </w:rPr>
        <w:t>)</w:t>
      </w:r>
    </w:p>
    <w:p w:rsidR="00460C69" w:rsidRPr="006A257D" w:rsidRDefault="00C574AE" w:rsidP="00214F9F">
      <w:pPr>
        <w:numPr>
          <w:ilvl w:val="0"/>
          <w:numId w:val="1"/>
        </w:numPr>
        <w:spacing w:before="120"/>
        <w:jc w:val="left"/>
        <w:rPr>
          <w:rFonts w:ascii="Times New Roman" w:eastAsia="MS PGothic" w:hAnsi="Times New Roman"/>
          <w:kern w:val="0"/>
          <w:sz w:val="24"/>
          <w:szCs w:val="24"/>
        </w:rPr>
      </w:pPr>
      <w:r w:rsidRPr="00C574AE">
        <w:rPr>
          <w:rFonts w:ascii="Times New Roman" w:hAnsi="Times New Roman" w:hint="eastAsia"/>
          <w:sz w:val="24"/>
          <w:szCs w:val="24"/>
        </w:rPr>
        <w:t xml:space="preserve">(Taiwan) </w:t>
      </w:r>
      <w:r w:rsidRPr="00C574AE">
        <w:rPr>
          <w:rFonts w:ascii="Times New Roman" w:hAnsi="Times New Roman"/>
          <w:sz w:val="24"/>
          <w:szCs w:val="24"/>
        </w:rPr>
        <w:t>Report From the CCSBT Observer (Chinese Taipei) on the 2014 Annual  Meeting of the Inter-American Tropical Tuna Commission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5E21">
        <w:rPr>
          <w:rFonts w:ascii="Times New Roman" w:hAnsi="Times New Roman"/>
          <w:sz w:val="24"/>
          <w:szCs w:val="24"/>
        </w:rPr>
        <w:t xml:space="preserve">(EC agenda item </w:t>
      </w:r>
      <w:r>
        <w:rPr>
          <w:rFonts w:ascii="Times New Roman" w:hAnsi="Times New Roman"/>
          <w:sz w:val="24"/>
          <w:szCs w:val="24"/>
        </w:rPr>
        <w:t>14</w:t>
      </w:r>
      <w:r w:rsidRPr="00755E21">
        <w:rPr>
          <w:rFonts w:ascii="Times New Roman" w:hAnsi="Times New Roman"/>
          <w:sz w:val="24"/>
          <w:szCs w:val="24"/>
        </w:rPr>
        <w:t>)</w:t>
      </w:r>
    </w:p>
    <w:p w:rsidR="006A257D" w:rsidRPr="006A257D" w:rsidRDefault="006A257D" w:rsidP="00943646">
      <w:pPr>
        <w:numPr>
          <w:ilvl w:val="0"/>
          <w:numId w:val="1"/>
        </w:numPr>
        <w:spacing w:before="120"/>
        <w:jc w:val="left"/>
        <w:rPr>
          <w:rFonts w:ascii="Times New Roman" w:eastAsia="MS PGothic" w:hAnsi="Times New Roman"/>
          <w:kern w:val="0"/>
          <w:sz w:val="24"/>
          <w:szCs w:val="24"/>
        </w:rPr>
      </w:pPr>
      <w:r w:rsidRPr="006A257D">
        <w:rPr>
          <w:rFonts w:ascii="Times New Roman" w:hAnsi="Times New Roman"/>
          <w:sz w:val="24"/>
          <w:szCs w:val="24"/>
        </w:rPr>
        <w:t xml:space="preserve">(Indonesia) </w:t>
      </w:r>
      <w:r w:rsidRPr="006A257D">
        <w:rPr>
          <w:rFonts w:ascii="Times New Roman" w:hAnsi="Times New Roman"/>
          <w:sz w:val="24"/>
          <w:szCs w:val="24"/>
        </w:rPr>
        <w:t>R</w:t>
      </w:r>
      <w:r w:rsidRPr="006A257D">
        <w:rPr>
          <w:rFonts w:ascii="Times New Roman" w:hAnsi="Times New Roman"/>
          <w:sz w:val="24"/>
          <w:szCs w:val="24"/>
        </w:rPr>
        <w:t>eport from the</w:t>
      </w:r>
      <w:r w:rsidRPr="006A257D">
        <w:rPr>
          <w:rFonts w:ascii="Times New Roman" w:hAnsi="Times New Roman"/>
          <w:sz w:val="24"/>
          <w:szCs w:val="24"/>
        </w:rPr>
        <w:t xml:space="preserve"> CCSBT O</w:t>
      </w:r>
      <w:r w:rsidRPr="006A257D">
        <w:rPr>
          <w:rFonts w:ascii="Times New Roman" w:hAnsi="Times New Roman"/>
          <w:sz w:val="24"/>
          <w:szCs w:val="24"/>
        </w:rPr>
        <w:t>bserver</w:t>
      </w:r>
      <w:r w:rsidRPr="006A257D">
        <w:rPr>
          <w:rFonts w:ascii="Times New Roman" w:hAnsi="Times New Roman"/>
          <w:sz w:val="24"/>
          <w:szCs w:val="24"/>
        </w:rPr>
        <w:t xml:space="preserve"> (INDONESIA)</w:t>
      </w:r>
      <w:r w:rsidRPr="006A25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on the </w:t>
      </w:r>
      <w:r w:rsidRPr="006A257D">
        <w:rPr>
          <w:rFonts w:ascii="Times New Roman" w:hAnsi="Times New Roman"/>
          <w:sz w:val="24"/>
          <w:szCs w:val="24"/>
        </w:rPr>
        <w:t>18</w:t>
      </w:r>
      <w:r w:rsidRPr="006A257D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257D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ommission</w:t>
      </w:r>
      <w:r w:rsidRPr="006A25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meeting of the </w:t>
      </w:r>
      <w:r w:rsidRPr="006A257D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ndian</w:t>
      </w:r>
      <w:r w:rsidRPr="006A257D">
        <w:rPr>
          <w:rFonts w:ascii="Times New Roman" w:hAnsi="Times New Roman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cean</w:t>
      </w:r>
      <w:r w:rsidRPr="006A257D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una</w:t>
      </w:r>
      <w:r w:rsidRPr="006A257D">
        <w:rPr>
          <w:rFonts w:ascii="Times New Roman" w:hAnsi="Times New Roman"/>
          <w:sz w:val="24"/>
          <w:szCs w:val="24"/>
        </w:rPr>
        <w:t xml:space="preserve"> C</w:t>
      </w:r>
      <w:r>
        <w:rPr>
          <w:rFonts w:ascii="Times New Roman" w:hAnsi="Times New Roman"/>
          <w:sz w:val="24"/>
          <w:szCs w:val="24"/>
        </w:rPr>
        <w:t>ommission</w:t>
      </w:r>
      <w:r w:rsidRPr="006A257D">
        <w:rPr>
          <w:rFonts w:ascii="Times New Roman" w:hAnsi="Times New Roman"/>
          <w:sz w:val="24"/>
          <w:szCs w:val="24"/>
        </w:rPr>
        <w:t xml:space="preserve"> (IOTC)</w:t>
      </w:r>
      <w:r w:rsidRPr="006A257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6A257D">
        <w:rPr>
          <w:rFonts w:ascii="Times New Roman" w:hAnsi="Times New Roman"/>
          <w:sz w:val="24"/>
          <w:szCs w:val="24"/>
        </w:rPr>
        <w:t>(EC agenda item 14)</w:t>
      </w:r>
    </w:p>
    <w:p w:rsidR="00417993" w:rsidRPr="0005505D" w:rsidRDefault="00417993" w:rsidP="00460C69">
      <w:pPr>
        <w:spacing w:before="120"/>
        <w:ind w:left="420"/>
        <w:jc w:val="left"/>
        <w:rPr>
          <w:rFonts w:ascii="Times New Roman" w:eastAsia="MS PGothic" w:hAnsi="Times New Roman"/>
          <w:kern w:val="0"/>
          <w:sz w:val="24"/>
          <w:szCs w:val="24"/>
        </w:rPr>
      </w:pPr>
    </w:p>
    <w:p w:rsidR="007F1564" w:rsidRDefault="007F1564" w:rsidP="0092710E">
      <w:pPr>
        <w:spacing w:before="120"/>
        <w:jc w:val="left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(CCSBT-EC/</w:t>
      </w:r>
      <w:r w:rsidR="001E01F0" w:rsidRPr="0005505D">
        <w:rPr>
          <w:rFonts w:ascii="Times New Roman" w:hAnsi="Times New Roman"/>
          <w:b/>
          <w:sz w:val="24"/>
          <w:szCs w:val="24"/>
        </w:rPr>
        <w:t>1</w:t>
      </w:r>
      <w:r w:rsidR="009838AD">
        <w:rPr>
          <w:rFonts w:ascii="Times New Roman" w:hAnsi="Times New Roman"/>
          <w:b/>
          <w:sz w:val="24"/>
          <w:szCs w:val="24"/>
        </w:rPr>
        <w:t>4</w:t>
      </w:r>
      <w:r w:rsidRPr="0005505D">
        <w:rPr>
          <w:rFonts w:ascii="Times New Roman" w:hAnsi="Times New Roman"/>
          <w:b/>
          <w:sz w:val="24"/>
          <w:szCs w:val="24"/>
        </w:rPr>
        <w:t>10/</w:t>
      </w:r>
      <w:proofErr w:type="gramStart"/>
      <w:r w:rsidRPr="0005505D">
        <w:rPr>
          <w:rFonts w:ascii="Times New Roman" w:hAnsi="Times New Roman"/>
          <w:b/>
          <w:sz w:val="24"/>
          <w:szCs w:val="24"/>
        </w:rPr>
        <w:t>BGD )</w:t>
      </w:r>
      <w:proofErr w:type="gramEnd"/>
    </w:p>
    <w:p w:rsidR="00417993" w:rsidRPr="0005505D" w:rsidRDefault="00417993" w:rsidP="00417993">
      <w:pPr>
        <w:numPr>
          <w:ilvl w:val="0"/>
          <w:numId w:val="12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New Zealand</w:t>
      </w:r>
      <w:r>
        <w:rPr>
          <w:rFonts w:ascii="Times New Roman" w:hAnsi="Times New Roman" w:hint="eastAsia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7993">
        <w:rPr>
          <w:rFonts w:ascii="Times New Roman" w:hAnsi="Times New Roman" w:hint="eastAsia"/>
          <w:sz w:val="24"/>
          <w:szCs w:val="24"/>
        </w:rPr>
        <w:t>New Zealand Self</w:t>
      </w:r>
      <w:r w:rsidRPr="00417993">
        <w:rPr>
          <w:rFonts w:ascii="Times New Roman" w:hAnsi="Times New Roman" w:hint="eastAsia"/>
          <w:sz w:val="24"/>
          <w:szCs w:val="24"/>
        </w:rPr>
        <w:t>‐</w:t>
      </w:r>
      <w:r w:rsidRPr="00417993">
        <w:rPr>
          <w:rFonts w:ascii="Times New Roman" w:hAnsi="Times New Roman" w:hint="eastAsia"/>
          <w:sz w:val="24"/>
          <w:szCs w:val="24"/>
        </w:rPr>
        <w:t>Assessment of Fishing Capacity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(EC agenda item 9.1.1)</w:t>
      </w:r>
    </w:p>
    <w:p w:rsidR="00992815" w:rsidRPr="00992815" w:rsidRDefault="00992815" w:rsidP="00992815">
      <w:pPr>
        <w:jc w:val="left"/>
        <w:rPr>
          <w:rFonts w:ascii="Times New Roman" w:hAnsi="Times New Roman"/>
          <w:sz w:val="24"/>
          <w:szCs w:val="24"/>
        </w:rPr>
      </w:pPr>
    </w:p>
    <w:p w:rsidR="006F58A6" w:rsidRPr="0005505D" w:rsidRDefault="006F58A6" w:rsidP="0092710E">
      <w:pPr>
        <w:keepLines/>
        <w:widowControl/>
        <w:spacing w:before="120"/>
        <w:jc w:val="left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(CCSBT-EC/</w:t>
      </w:r>
      <w:r w:rsidR="001E01F0" w:rsidRPr="0005505D">
        <w:rPr>
          <w:rFonts w:ascii="Times New Roman" w:hAnsi="Times New Roman"/>
          <w:b/>
          <w:sz w:val="24"/>
          <w:szCs w:val="24"/>
        </w:rPr>
        <w:t>1</w:t>
      </w:r>
      <w:r w:rsidR="009838AD">
        <w:rPr>
          <w:rFonts w:ascii="Times New Roman" w:hAnsi="Times New Roman"/>
          <w:b/>
          <w:sz w:val="24"/>
          <w:szCs w:val="24"/>
        </w:rPr>
        <w:t>4</w:t>
      </w:r>
      <w:r w:rsidRPr="0005505D">
        <w:rPr>
          <w:rFonts w:ascii="Times New Roman" w:hAnsi="Times New Roman"/>
          <w:b/>
          <w:sz w:val="24"/>
          <w:szCs w:val="24"/>
        </w:rPr>
        <w:t>10/</w:t>
      </w:r>
      <w:proofErr w:type="gramStart"/>
      <w:r w:rsidRPr="0005505D">
        <w:rPr>
          <w:rFonts w:ascii="Times New Roman" w:hAnsi="Times New Roman"/>
          <w:b/>
          <w:sz w:val="24"/>
          <w:szCs w:val="24"/>
        </w:rPr>
        <w:t>Info )</w:t>
      </w:r>
      <w:proofErr w:type="gramEnd"/>
    </w:p>
    <w:p w:rsidR="004B0A2B" w:rsidRPr="0005505D" w:rsidRDefault="004B0A2B" w:rsidP="002176CE">
      <w:pPr>
        <w:jc w:val="left"/>
        <w:rPr>
          <w:rFonts w:ascii="Times New Roman" w:hAnsi="Times New Roman"/>
          <w:b/>
          <w:sz w:val="24"/>
          <w:szCs w:val="24"/>
        </w:rPr>
      </w:pPr>
    </w:p>
    <w:p w:rsidR="00675366" w:rsidRPr="0005505D" w:rsidRDefault="00CA7C97" w:rsidP="00992815">
      <w:pPr>
        <w:keepNext/>
        <w:spacing w:before="120"/>
        <w:jc w:val="left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(CCSBT-EC/</w:t>
      </w:r>
      <w:r w:rsidR="001E01F0" w:rsidRPr="0005505D">
        <w:rPr>
          <w:rFonts w:ascii="Times New Roman" w:hAnsi="Times New Roman"/>
          <w:b/>
          <w:sz w:val="24"/>
          <w:szCs w:val="24"/>
        </w:rPr>
        <w:t>1</w:t>
      </w:r>
      <w:r w:rsidR="009838AD">
        <w:rPr>
          <w:rFonts w:ascii="Times New Roman" w:hAnsi="Times New Roman"/>
          <w:b/>
          <w:sz w:val="24"/>
          <w:szCs w:val="24"/>
        </w:rPr>
        <w:t>4</w:t>
      </w:r>
      <w:r w:rsidR="0003445F" w:rsidRPr="0005505D">
        <w:rPr>
          <w:rFonts w:ascii="Times New Roman" w:hAnsi="Times New Roman"/>
          <w:b/>
          <w:sz w:val="24"/>
          <w:szCs w:val="24"/>
        </w:rPr>
        <w:t>10</w:t>
      </w:r>
      <w:r w:rsidR="00675366" w:rsidRPr="0005505D">
        <w:rPr>
          <w:rFonts w:ascii="Times New Roman" w:hAnsi="Times New Roman"/>
          <w:b/>
          <w:sz w:val="24"/>
          <w:szCs w:val="24"/>
        </w:rPr>
        <w:t>/Rep )</w:t>
      </w:r>
    </w:p>
    <w:p w:rsidR="000906C1" w:rsidRPr="000906C1" w:rsidRDefault="000906C1" w:rsidP="00D31764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906C1">
        <w:rPr>
          <w:rFonts w:ascii="Times New Roman" w:hAnsi="Times New Roman"/>
          <w:sz w:val="24"/>
          <w:szCs w:val="24"/>
        </w:rPr>
        <w:t xml:space="preserve">Report of </w:t>
      </w:r>
      <w:r w:rsidRPr="000906C1">
        <w:rPr>
          <w:rFonts w:ascii="Times New Roman" w:hAnsi="Times New Roman"/>
          <w:color w:val="000000"/>
          <w:sz w:val="24"/>
          <w:szCs w:val="24"/>
        </w:rPr>
        <w:t>the Ninth Meeting of the Compliance Committee (October 2014)</w:t>
      </w:r>
    </w:p>
    <w:p w:rsidR="000906C1" w:rsidRPr="000906C1" w:rsidRDefault="000906C1" w:rsidP="000906C1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0906C1">
        <w:rPr>
          <w:rFonts w:ascii="Times New Roman" w:hAnsi="Times New Roman"/>
          <w:color w:val="000000"/>
          <w:sz w:val="24"/>
          <w:szCs w:val="24"/>
        </w:rPr>
        <w:t>Report of the Nineteenth Meeting of the Scientific Committee (September 2014)</w:t>
      </w:r>
    </w:p>
    <w:p w:rsidR="000906C1" w:rsidRPr="000906C1" w:rsidRDefault="000906C1" w:rsidP="000906C1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0906C1">
        <w:rPr>
          <w:rFonts w:ascii="Times New Roman" w:hAnsi="Times New Roman"/>
          <w:color w:val="000000"/>
          <w:sz w:val="24"/>
          <w:szCs w:val="24"/>
        </w:rPr>
        <w:t>Report of the Fifth Operating Model and Management Procedure Technical Meeting (June 2014)</w:t>
      </w:r>
    </w:p>
    <w:p w:rsidR="000906C1" w:rsidRPr="000906C1" w:rsidRDefault="000906C1" w:rsidP="000906C1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0906C1">
        <w:rPr>
          <w:rFonts w:ascii="Times New Roman" w:hAnsi="Times New Roman"/>
          <w:color w:val="000000"/>
          <w:sz w:val="24"/>
          <w:szCs w:val="24"/>
        </w:rPr>
        <w:t>Report of the Third Meeting of the Compliance Committee Working Group (April 2014)</w:t>
      </w:r>
    </w:p>
    <w:p w:rsidR="000906C1" w:rsidRPr="000906C1" w:rsidRDefault="000906C1" w:rsidP="000906C1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0906C1">
        <w:rPr>
          <w:rFonts w:ascii="Times New Roman" w:hAnsi="Times New Roman"/>
          <w:color w:val="000000"/>
          <w:sz w:val="24"/>
          <w:szCs w:val="24"/>
        </w:rPr>
        <w:t>Report of the Twentieth Annual Meeting of the Commission (October 2013)</w:t>
      </w:r>
    </w:p>
    <w:p w:rsidR="006553BB" w:rsidRPr="000906C1" w:rsidRDefault="006553BB" w:rsidP="000906C1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906C1">
        <w:rPr>
          <w:rFonts w:ascii="Times New Roman" w:hAnsi="Times New Roman"/>
          <w:color w:val="000000"/>
          <w:sz w:val="24"/>
          <w:szCs w:val="24"/>
        </w:rPr>
        <w:t>Report of the Eighth Meeting of the Compliance Committee (October 2013)</w:t>
      </w:r>
    </w:p>
    <w:p w:rsidR="006553BB" w:rsidRPr="000906C1" w:rsidRDefault="006553BB" w:rsidP="000906C1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906C1">
        <w:rPr>
          <w:rFonts w:ascii="Times New Roman" w:hAnsi="Times New Roman"/>
          <w:color w:val="000000"/>
          <w:sz w:val="24"/>
          <w:szCs w:val="24"/>
        </w:rPr>
        <w:t>Report of the Eighteenth Meeting of the Scientific Committee (September 2013)</w:t>
      </w:r>
    </w:p>
    <w:p w:rsidR="006553BB" w:rsidRPr="000906C1" w:rsidRDefault="006553BB" w:rsidP="00D31764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906C1">
        <w:rPr>
          <w:rFonts w:ascii="Times New Roman" w:hAnsi="Times New Roman"/>
          <w:color w:val="000000"/>
          <w:sz w:val="24"/>
          <w:szCs w:val="24"/>
        </w:rPr>
        <w:t>Report of the Tenth Meeting of the Ecologically Related Species Working Group (August 2013)</w:t>
      </w:r>
    </w:p>
    <w:p w:rsidR="00892781" w:rsidRPr="000906C1" w:rsidRDefault="00892781" w:rsidP="00892781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906C1">
        <w:rPr>
          <w:rFonts w:ascii="Times New Roman" w:hAnsi="Times New Roman" w:hint="eastAsia"/>
          <w:color w:val="000000"/>
          <w:sz w:val="24"/>
          <w:szCs w:val="24"/>
        </w:rPr>
        <w:t>Report of the Second Meeting of the Compliance Committee Working Group (May 2013)</w:t>
      </w:r>
      <w:r w:rsidRPr="000906C1">
        <w:rPr>
          <w:rFonts w:ascii="Times New Roman" w:hAnsi="Times New Roman" w:hint="eastAsia"/>
          <w:sz w:val="24"/>
          <w:szCs w:val="24"/>
        </w:rPr>
        <w:t xml:space="preserve"> </w:t>
      </w:r>
    </w:p>
    <w:p w:rsidR="005E0793" w:rsidRPr="000906C1" w:rsidRDefault="005E0793" w:rsidP="00D31764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906C1">
        <w:rPr>
          <w:rFonts w:ascii="Times New Roman" w:hAnsi="Times New Roman"/>
          <w:color w:val="000000"/>
          <w:sz w:val="24"/>
          <w:szCs w:val="24"/>
        </w:rPr>
        <w:t>Report of the Nineteenth Annual Meeting of the Commission (October 2012)</w:t>
      </w:r>
    </w:p>
    <w:p w:rsidR="000906C1" w:rsidRPr="000906C1" w:rsidRDefault="000906C1" w:rsidP="000906C1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0906C1">
        <w:rPr>
          <w:rFonts w:ascii="Times New Roman" w:hAnsi="Times New Roman"/>
          <w:color w:val="000000"/>
          <w:sz w:val="24"/>
          <w:szCs w:val="24"/>
        </w:rPr>
        <w:t>Report of the Seventh Meeting of the Compliance Committee (September 2012)</w:t>
      </w:r>
    </w:p>
    <w:p w:rsidR="00342249" w:rsidRPr="000906C1" w:rsidRDefault="00342249" w:rsidP="00D31764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906C1">
        <w:rPr>
          <w:rFonts w:ascii="Times New Roman" w:hAnsi="Times New Roman"/>
          <w:sz w:val="24"/>
          <w:szCs w:val="24"/>
        </w:rPr>
        <w:t>Report of the Eighteenth Annual Meeting of the Commission (October 2011)</w:t>
      </w:r>
    </w:p>
    <w:p w:rsidR="0099756C" w:rsidRPr="000906C1" w:rsidRDefault="0099756C" w:rsidP="00D31764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906C1">
        <w:rPr>
          <w:rFonts w:ascii="Times New Roman" w:hAnsi="Times New Roman"/>
          <w:kern w:val="0"/>
          <w:sz w:val="24"/>
          <w:szCs w:val="24"/>
        </w:rPr>
        <w:t>Report of the Sixth Meeting of the Compliance Committee (October 2011)</w:t>
      </w:r>
    </w:p>
    <w:p w:rsidR="0099756C" w:rsidRPr="000906C1" w:rsidRDefault="0099756C" w:rsidP="00D31764">
      <w:pPr>
        <w:numPr>
          <w:ilvl w:val="0"/>
          <w:numId w:val="2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906C1">
        <w:rPr>
          <w:rFonts w:ascii="Times New Roman" w:hAnsi="Times New Roman"/>
          <w:sz w:val="24"/>
          <w:szCs w:val="24"/>
        </w:rPr>
        <w:t>Report of the Special Meeting of the Commission (August 2011)</w:t>
      </w:r>
    </w:p>
    <w:p w:rsidR="006C6B7D" w:rsidRPr="0005505D" w:rsidRDefault="006C6B7D" w:rsidP="006553BB">
      <w:pPr>
        <w:spacing w:before="120"/>
        <w:ind w:left="420"/>
        <w:jc w:val="left"/>
        <w:rPr>
          <w:rFonts w:ascii="Times New Roman" w:hAnsi="Times New Roman"/>
          <w:sz w:val="24"/>
          <w:szCs w:val="24"/>
        </w:rPr>
      </w:pPr>
    </w:p>
    <w:tbl>
      <w:tblPr>
        <w:tblW w:w="8865" w:type="dxa"/>
        <w:tblInd w:w="5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865"/>
      </w:tblGrid>
      <w:tr w:rsidR="00826312" w:rsidRPr="0005505D" w:rsidTr="00826312">
        <w:trPr>
          <w:trHeight w:val="100"/>
        </w:trPr>
        <w:tc>
          <w:tcPr>
            <w:tcW w:w="8865" w:type="dxa"/>
            <w:tcBorders>
              <w:top w:val="double" w:sz="4" w:space="0" w:color="auto"/>
            </w:tcBorders>
          </w:tcPr>
          <w:p w:rsidR="00826312" w:rsidRPr="0005505D" w:rsidRDefault="00826312" w:rsidP="008263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26312" w:rsidRPr="0005505D" w:rsidRDefault="00826312" w:rsidP="008263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6312" w:rsidRPr="0005505D" w:rsidRDefault="00826312" w:rsidP="00826312">
      <w:pPr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lastRenderedPageBreak/>
        <w:t>(Documents to be discussed from the Compliance Committee Meeting)</w:t>
      </w:r>
      <w:r w:rsidR="00925863" w:rsidRPr="0005505D">
        <w:rPr>
          <w:rStyle w:val="FootnoteReference"/>
          <w:rFonts w:ascii="Times New Roman" w:hAnsi="Times New Roman"/>
          <w:b/>
          <w:sz w:val="24"/>
          <w:szCs w:val="24"/>
        </w:rPr>
        <w:footnoteReference w:id="1"/>
      </w:r>
    </w:p>
    <w:p w:rsidR="0034616F" w:rsidRPr="0005505D" w:rsidRDefault="0034616F" w:rsidP="00826312">
      <w:pPr>
        <w:rPr>
          <w:rFonts w:ascii="Times New Roman" w:hAnsi="Times New Roman"/>
          <w:sz w:val="24"/>
          <w:szCs w:val="24"/>
          <w:highlight w:val="cyan"/>
        </w:rPr>
      </w:pPr>
    </w:p>
    <w:p w:rsidR="00A7556D" w:rsidRPr="0005505D" w:rsidRDefault="00A7556D" w:rsidP="0092710E">
      <w:pPr>
        <w:spacing w:before="120"/>
        <w:jc w:val="left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(CCSBT-CC/</w:t>
      </w:r>
      <w:r w:rsidR="001E01F0" w:rsidRPr="0005505D">
        <w:rPr>
          <w:rFonts w:ascii="Times New Roman" w:hAnsi="Times New Roman"/>
          <w:b/>
          <w:sz w:val="24"/>
          <w:szCs w:val="24"/>
        </w:rPr>
        <w:t>1</w:t>
      </w:r>
      <w:r w:rsidR="009838AD">
        <w:rPr>
          <w:rFonts w:ascii="Times New Roman" w:hAnsi="Times New Roman"/>
          <w:b/>
          <w:sz w:val="24"/>
          <w:szCs w:val="24"/>
        </w:rPr>
        <w:t>4</w:t>
      </w:r>
      <w:r w:rsidR="00EF491C" w:rsidRPr="0005505D">
        <w:rPr>
          <w:rFonts w:ascii="Times New Roman" w:hAnsi="Times New Roman"/>
          <w:b/>
          <w:sz w:val="24"/>
          <w:szCs w:val="24"/>
        </w:rPr>
        <w:t>10</w:t>
      </w:r>
      <w:r w:rsidRPr="0005505D">
        <w:rPr>
          <w:rFonts w:ascii="Times New Roman" w:hAnsi="Times New Roman"/>
          <w:b/>
          <w:sz w:val="24"/>
          <w:szCs w:val="24"/>
        </w:rPr>
        <w:t xml:space="preserve">/SBT Fisheries </w:t>
      </w:r>
      <w:proofErr w:type="gramStart"/>
      <w:r w:rsidRPr="0005505D">
        <w:rPr>
          <w:rFonts w:ascii="Times New Roman" w:hAnsi="Times New Roman"/>
          <w:b/>
          <w:sz w:val="24"/>
          <w:szCs w:val="24"/>
        </w:rPr>
        <w:t>- )</w:t>
      </w:r>
      <w:proofErr w:type="gramEnd"/>
    </w:p>
    <w:p w:rsidR="00902345" w:rsidRPr="001B6056" w:rsidRDefault="00902345" w:rsidP="00902345">
      <w:pPr>
        <w:keepLines/>
        <w:spacing w:before="120"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1B6056">
        <w:rPr>
          <w:rFonts w:ascii="Times New Roman" w:hAnsi="Times New Roman"/>
          <w:sz w:val="24"/>
          <w:szCs w:val="24"/>
        </w:rPr>
        <w:t>Australia</w:t>
      </w:r>
      <w:r w:rsidRPr="001B6056">
        <w:rPr>
          <w:rFonts w:ascii="Times New Roman" w:hAnsi="Times New Roman"/>
          <w:sz w:val="24"/>
          <w:szCs w:val="24"/>
        </w:rPr>
        <w:tab/>
      </w:r>
      <w:r w:rsidRPr="001B6056">
        <w:rPr>
          <w:rFonts w:ascii="Times New Roman" w:hAnsi="Times New Roman" w:hint="eastAsia"/>
          <w:sz w:val="24"/>
          <w:szCs w:val="24"/>
        </w:rPr>
        <w:t xml:space="preserve">Annual Report to the Compliance </w:t>
      </w:r>
      <w:r w:rsidRPr="001B6056">
        <w:rPr>
          <w:rFonts w:ascii="Times New Roman" w:hAnsi="Times New Roman"/>
          <w:sz w:val="24"/>
          <w:szCs w:val="24"/>
        </w:rPr>
        <w:t>Committee</w:t>
      </w:r>
      <w:r w:rsidRPr="001B6056">
        <w:rPr>
          <w:rFonts w:ascii="Times New Roman" w:hAnsi="Times New Roman" w:hint="eastAsia"/>
          <w:sz w:val="24"/>
          <w:szCs w:val="24"/>
        </w:rPr>
        <w:t xml:space="preserve"> and the Extended Commission</w:t>
      </w:r>
    </w:p>
    <w:p w:rsidR="00902345" w:rsidRPr="001B6056" w:rsidRDefault="00902345" w:rsidP="00902345">
      <w:pPr>
        <w:keepLines/>
        <w:spacing w:before="120"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1B6056">
        <w:rPr>
          <w:rFonts w:ascii="Times New Roman" w:hAnsi="Times New Roman"/>
          <w:sz w:val="24"/>
          <w:szCs w:val="24"/>
        </w:rPr>
        <w:t>Indonesia</w:t>
      </w:r>
      <w:r w:rsidRPr="001B6056">
        <w:rPr>
          <w:rFonts w:ascii="Times New Roman" w:hAnsi="Times New Roman"/>
          <w:sz w:val="24"/>
          <w:szCs w:val="24"/>
        </w:rPr>
        <w:tab/>
      </w:r>
      <w:r w:rsidRPr="001B6056">
        <w:rPr>
          <w:rFonts w:ascii="Times New Roman" w:hAnsi="Times New Roman" w:hint="eastAsia"/>
          <w:sz w:val="24"/>
          <w:szCs w:val="24"/>
        </w:rPr>
        <w:t xml:space="preserve">Annual Report to the Compliance </w:t>
      </w:r>
      <w:r w:rsidRPr="001B6056">
        <w:rPr>
          <w:rFonts w:ascii="Times New Roman" w:hAnsi="Times New Roman"/>
          <w:sz w:val="24"/>
          <w:szCs w:val="24"/>
        </w:rPr>
        <w:t>Committee</w:t>
      </w:r>
      <w:r w:rsidRPr="001B6056">
        <w:rPr>
          <w:rFonts w:ascii="Times New Roman" w:hAnsi="Times New Roman" w:hint="eastAsia"/>
          <w:sz w:val="24"/>
          <w:szCs w:val="24"/>
        </w:rPr>
        <w:t xml:space="preserve"> and the Extended Commission CCSBT</w:t>
      </w:r>
    </w:p>
    <w:p w:rsidR="00902345" w:rsidRPr="001B6056" w:rsidRDefault="00902345" w:rsidP="00902345">
      <w:pPr>
        <w:keepLines/>
        <w:spacing w:before="120"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1B6056">
        <w:rPr>
          <w:rFonts w:ascii="Times New Roman" w:hAnsi="Times New Roman"/>
          <w:sz w:val="24"/>
          <w:szCs w:val="24"/>
        </w:rPr>
        <w:t>Japan</w:t>
      </w:r>
      <w:r w:rsidRPr="001B6056">
        <w:rPr>
          <w:rFonts w:ascii="Times New Roman" w:hAnsi="Times New Roman"/>
          <w:kern w:val="1"/>
          <w:sz w:val="24"/>
          <w:szCs w:val="24"/>
        </w:rPr>
        <w:tab/>
      </w:r>
      <w:r w:rsidRPr="001B6056">
        <w:rPr>
          <w:rFonts w:ascii="Times New Roman" w:hAnsi="Times New Roman" w:hint="eastAsia"/>
          <w:sz w:val="24"/>
          <w:szCs w:val="24"/>
        </w:rPr>
        <w:t xml:space="preserve">Annual Report to the Compliance </w:t>
      </w:r>
      <w:r w:rsidRPr="001B6056">
        <w:rPr>
          <w:rFonts w:ascii="Times New Roman" w:hAnsi="Times New Roman"/>
          <w:sz w:val="24"/>
          <w:szCs w:val="24"/>
        </w:rPr>
        <w:t>Committee</w:t>
      </w:r>
      <w:r w:rsidRPr="001B6056">
        <w:rPr>
          <w:rFonts w:ascii="Times New Roman" w:hAnsi="Times New Roman" w:hint="eastAsia"/>
          <w:sz w:val="24"/>
          <w:szCs w:val="24"/>
        </w:rPr>
        <w:t xml:space="preserve"> and the Extended Commission</w:t>
      </w:r>
    </w:p>
    <w:p w:rsidR="004A461D" w:rsidRPr="001B6056" w:rsidRDefault="004A461D" w:rsidP="004A461D">
      <w:pPr>
        <w:keepLines/>
        <w:spacing w:before="120"/>
        <w:ind w:left="1692" w:hangingChars="705" w:hanging="1692"/>
        <w:jc w:val="left"/>
        <w:rPr>
          <w:rFonts w:ascii="Times New Roman" w:hAnsi="Times New Roman"/>
          <w:sz w:val="24"/>
          <w:szCs w:val="24"/>
        </w:rPr>
      </w:pPr>
      <w:r w:rsidRPr="001B6056">
        <w:rPr>
          <w:rFonts w:ascii="Times New Roman" w:hAnsi="Times New Roman" w:hint="eastAsia"/>
          <w:sz w:val="24"/>
          <w:szCs w:val="24"/>
        </w:rPr>
        <w:t>Korea</w:t>
      </w:r>
      <w:r w:rsidRPr="001B6056">
        <w:rPr>
          <w:rFonts w:ascii="Times New Roman" w:hAnsi="Times New Roman"/>
          <w:kern w:val="1"/>
          <w:sz w:val="24"/>
          <w:szCs w:val="24"/>
        </w:rPr>
        <w:tab/>
      </w:r>
      <w:r w:rsidR="002D50E7">
        <w:rPr>
          <w:rFonts w:ascii="Times New Roman" w:hAnsi="Times New Roman" w:hint="eastAsia"/>
          <w:sz w:val="24"/>
          <w:szCs w:val="24"/>
        </w:rPr>
        <w:t xml:space="preserve">Annual Report to the Compliance </w:t>
      </w:r>
      <w:r w:rsidR="002D50E7">
        <w:rPr>
          <w:rFonts w:ascii="Times New Roman" w:hAnsi="Times New Roman"/>
          <w:sz w:val="24"/>
          <w:szCs w:val="24"/>
        </w:rPr>
        <w:t>Committee</w:t>
      </w:r>
      <w:r w:rsidR="002D50E7">
        <w:rPr>
          <w:rFonts w:ascii="Times New Roman" w:hAnsi="Times New Roman" w:hint="eastAsia"/>
          <w:sz w:val="24"/>
          <w:szCs w:val="24"/>
        </w:rPr>
        <w:t xml:space="preserve"> and the Extended Commission</w:t>
      </w:r>
      <w:r w:rsidR="00755E21">
        <w:rPr>
          <w:rFonts w:ascii="Times New Roman" w:hAnsi="Times New Roman"/>
          <w:sz w:val="24"/>
          <w:szCs w:val="24"/>
        </w:rPr>
        <w:t xml:space="preserve"> (Rev.1)</w:t>
      </w:r>
    </w:p>
    <w:p w:rsidR="00902345" w:rsidRPr="001B6056" w:rsidRDefault="00902345" w:rsidP="00902345">
      <w:pPr>
        <w:keepLines/>
        <w:spacing w:before="120"/>
        <w:ind w:left="1692" w:hangingChars="705" w:hanging="1692"/>
        <w:jc w:val="left"/>
        <w:rPr>
          <w:rFonts w:ascii="Times New Roman" w:hAnsi="Times New Roman"/>
          <w:bCs/>
          <w:sz w:val="24"/>
          <w:szCs w:val="24"/>
          <w:lang w:val="en-NZ"/>
        </w:rPr>
      </w:pPr>
      <w:r w:rsidRPr="001B6056">
        <w:rPr>
          <w:rFonts w:ascii="Times New Roman" w:hAnsi="Times New Roman"/>
          <w:sz w:val="24"/>
          <w:szCs w:val="24"/>
        </w:rPr>
        <w:t>New Zealand</w:t>
      </w:r>
      <w:r w:rsidRPr="001B6056">
        <w:rPr>
          <w:rFonts w:ascii="Times New Roman" w:hAnsi="Times New Roman"/>
          <w:sz w:val="24"/>
          <w:szCs w:val="24"/>
        </w:rPr>
        <w:tab/>
      </w:r>
      <w:r w:rsidR="00EF7609" w:rsidRPr="00EF7609">
        <w:rPr>
          <w:rFonts w:ascii="Times New Roman" w:hAnsi="Times New Roman"/>
          <w:sz w:val="24"/>
          <w:szCs w:val="24"/>
        </w:rPr>
        <w:t>Southern Bluefin Tuna Fisheries - New Zealand Country Report</w:t>
      </w:r>
    </w:p>
    <w:p w:rsidR="00902345" w:rsidRPr="001B6056" w:rsidRDefault="00902345" w:rsidP="00140CFB">
      <w:pPr>
        <w:keepLines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1B6056">
        <w:rPr>
          <w:rFonts w:ascii="Times New Roman" w:hAnsi="Times New Roman"/>
          <w:sz w:val="24"/>
          <w:szCs w:val="24"/>
        </w:rPr>
        <w:t>Taiwan</w:t>
      </w:r>
      <w:r w:rsidRPr="001B6056">
        <w:rPr>
          <w:rFonts w:ascii="Times New Roman" w:hAnsi="Times New Roman"/>
          <w:sz w:val="24"/>
          <w:szCs w:val="24"/>
        </w:rPr>
        <w:tab/>
      </w:r>
      <w:r w:rsidRPr="001B6056">
        <w:rPr>
          <w:rFonts w:ascii="Times New Roman" w:hAnsi="Times New Roman"/>
          <w:sz w:val="24"/>
          <w:szCs w:val="24"/>
        </w:rPr>
        <w:tab/>
      </w:r>
      <w:r w:rsidR="00905B11">
        <w:rPr>
          <w:rFonts w:ascii="Times New Roman" w:hAnsi="Times New Roman" w:hint="eastAsia"/>
          <w:sz w:val="24"/>
          <w:szCs w:val="24"/>
        </w:rPr>
        <w:t xml:space="preserve">Annual Report to the Compliance </w:t>
      </w:r>
      <w:r w:rsidR="00905B11">
        <w:rPr>
          <w:rFonts w:ascii="Times New Roman" w:hAnsi="Times New Roman"/>
          <w:sz w:val="24"/>
          <w:szCs w:val="24"/>
        </w:rPr>
        <w:t>Committee</w:t>
      </w:r>
      <w:r w:rsidR="00905B11">
        <w:rPr>
          <w:rFonts w:ascii="Times New Roman" w:hAnsi="Times New Roman" w:hint="eastAsia"/>
          <w:sz w:val="24"/>
          <w:szCs w:val="24"/>
        </w:rPr>
        <w:t xml:space="preserve"> and the Extended Commission</w:t>
      </w:r>
      <w:r w:rsidR="006F347E">
        <w:rPr>
          <w:rFonts w:ascii="Times New Roman" w:hAnsi="Times New Roman"/>
          <w:sz w:val="24"/>
          <w:szCs w:val="24"/>
        </w:rPr>
        <w:t xml:space="preserve"> (Rev.1)</w:t>
      </w:r>
    </w:p>
    <w:p w:rsidR="00902345" w:rsidRPr="001B6056" w:rsidRDefault="00902345" w:rsidP="00902345">
      <w:pPr>
        <w:keepLines/>
        <w:spacing w:before="120"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1B6056">
        <w:rPr>
          <w:rFonts w:ascii="Times New Roman" w:hAnsi="Times New Roman" w:hint="eastAsia"/>
          <w:sz w:val="24"/>
          <w:szCs w:val="24"/>
        </w:rPr>
        <w:t>European Union</w:t>
      </w:r>
      <w:r w:rsidRPr="001B6056">
        <w:rPr>
          <w:rFonts w:ascii="Times New Roman" w:hAnsi="Times New Roman"/>
          <w:sz w:val="24"/>
          <w:szCs w:val="24"/>
        </w:rPr>
        <w:tab/>
      </w:r>
      <w:r w:rsidRPr="001B6056">
        <w:rPr>
          <w:rFonts w:ascii="Times New Roman" w:hAnsi="Times New Roman" w:hint="eastAsia"/>
          <w:sz w:val="24"/>
          <w:szCs w:val="24"/>
        </w:rPr>
        <w:t>201</w:t>
      </w:r>
      <w:r w:rsidR="001B6056" w:rsidRPr="001B6056">
        <w:rPr>
          <w:rFonts w:ascii="Times New Roman" w:hAnsi="Times New Roman"/>
          <w:sz w:val="24"/>
          <w:szCs w:val="24"/>
        </w:rPr>
        <w:t>3</w:t>
      </w:r>
      <w:r w:rsidRPr="001B6056">
        <w:rPr>
          <w:rFonts w:ascii="Times New Roman" w:hAnsi="Times New Roman" w:hint="eastAsia"/>
          <w:sz w:val="24"/>
          <w:szCs w:val="24"/>
        </w:rPr>
        <w:t xml:space="preserve"> Annual Report of the European Union to the Compliance Committee and the Extended Commission</w:t>
      </w:r>
      <w:r w:rsidR="00755E21">
        <w:rPr>
          <w:rFonts w:ascii="Times New Roman" w:hAnsi="Times New Roman"/>
          <w:sz w:val="24"/>
          <w:szCs w:val="24"/>
        </w:rPr>
        <w:t xml:space="preserve"> (Rev.1)</w:t>
      </w:r>
    </w:p>
    <w:p w:rsidR="00902345" w:rsidRPr="001B6056" w:rsidRDefault="0078008C" w:rsidP="00902345">
      <w:pPr>
        <w:keepLines/>
        <w:spacing w:before="120"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1B6056">
        <w:rPr>
          <w:rFonts w:ascii="Times New Roman" w:hAnsi="Times New Roman" w:hint="eastAsia"/>
          <w:sz w:val="24"/>
          <w:szCs w:val="24"/>
        </w:rPr>
        <w:t>Philippines</w:t>
      </w:r>
      <w:r w:rsidRPr="001B6056">
        <w:rPr>
          <w:rFonts w:ascii="Times New Roman" w:hAnsi="Times New Roman"/>
          <w:kern w:val="1"/>
          <w:sz w:val="24"/>
          <w:szCs w:val="24"/>
        </w:rPr>
        <w:tab/>
      </w:r>
      <w:r w:rsidR="00A73947">
        <w:rPr>
          <w:rFonts w:ascii="Times New Roman" w:hAnsi="Times New Roman" w:hint="eastAsia"/>
          <w:sz w:val="24"/>
          <w:szCs w:val="24"/>
        </w:rPr>
        <w:t xml:space="preserve">Annual Report to the Compliance </w:t>
      </w:r>
      <w:r w:rsidR="00A73947">
        <w:rPr>
          <w:rFonts w:ascii="Times New Roman" w:hAnsi="Times New Roman"/>
          <w:sz w:val="24"/>
          <w:szCs w:val="24"/>
        </w:rPr>
        <w:t>Committee</w:t>
      </w:r>
      <w:r w:rsidR="00A73947">
        <w:rPr>
          <w:rFonts w:ascii="Times New Roman" w:hAnsi="Times New Roman" w:hint="eastAsia"/>
          <w:sz w:val="24"/>
          <w:szCs w:val="24"/>
        </w:rPr>
        <w:t xml:space="preserve"> and the Extended Commission</w:t>
      </w:r>
    </w:p>
    <w:p w:rsidR="00902345" w:rsidRPr="001B6056" w:rsidRDefault="00902345" w:rsidP="00902345">
      <w:pPr>
        <w:keepLines/>
        <w:spacing w:before="120"/>
        <w:ind w:left="1695" w:hanging="1695"/>
        <w:jc w:val="left"/>
        <w:rPr>
          <w:rFonts w:ascii="Times New Roman" w:hAnsi="Times New Roman"/>
          <w:sz w:val="24"/>
          <w:szCs w:val="24"/>
        </w:rPr>
      </w:pPr>
      <w:r w:rsidRPr="001B6056">
        <w:rPr>
          <w:rFonts w:ascii="Times New Roman" w:hAnsi="Times New Roman"/>
          <w:sz w:val="24"/>
          <w:szCs w:val="24"/>
        </w:rPr>
        <w:t>South Africa</w:t>
      </w:r>
      <w:r w:rsidRPr="001B6056">
        <w:rPr>
          <w:rFonts w:ascii="Times New Roman" w:hAnsi="Times New Roman"/>
          <w:sz w:val="24"/>
          <w:szCs w:val="24"/>
        </w:rPr>
        <w:t xml:space="preserve">　　</w:t>
      </w:r>
    </w:p>
    <w:p w:rsidR="005D1E54" w:rsidRPr="001B6056" w:rsidRDefault="005D1E54" w:rsidP="00EF491C">
      <w:pPr>
        <w:spacing w:before="120"/>
        <w:rPr>
          <w:rFonts w:ascii="Times New Roman" w:eastAsia="MS PGothic" w:hAnsi="Times New Roman"/>
          <w:color w:val="000000"/>
          <w:kern w:val="0"/>
          <w:sz w:val="24"/>
          <w:szCs w:val="24"/>
        </w:rPr>
      </w:pPr>
    </w:p>
    <w:p w:rsidR="003A5714" w:rsidRPr="001B6056" w:rsidRDefault="003A5714" w:rsidP="0092710E">
      <w:pPr>
        <w:spacing w:before="120"/>
        <w:jc w:val="left"/>
        <w:rPr>
          <w:rFonts w:ascii="Times New Roman" w:hAnsi="Times New Roman"/>
          <w:b/>
          <w:color w:val="000000"/>
          <w:sz w:val="24"/>
          <w:szCs w:val="24"/>
        </w:rPr>
      </w:pPr>
      <w:r w:rsidRPr="001B6056">
        <w:rPr>
          <w:rFonts w:ascii="Times New Roman" w:hAnsi="Times New Roman"/>
          <w:b/>
          <w:color w:val="000000"/>
          <w:sz w:val="24"/>
          <w:szCs w:val="24"/>
        </w:rPr>
        <w:t>(</w:t>
      </w:r>
      <w:r w:rsidR="00EB5CEF" w:rsidRPr="001B6056">
        <w:rPr>
          <w:rFonts w:ascii="Times New Roman" w:hAnsi="Times New Roman"/>
          <w:b/>
          <w:color w:val="000000"/>
          <w:sz w:val="24"/>
          <w:szCs w:val="24"/>
        </w:rPr>
        <w:t>CCSBT-CC/</w:t>
      </w:r>
      <w:r w:rsidR="001E01F0" w:rsidRPr="001B6056">
        <w:rPr>
          <w:rFonts w:ascii="Times New Roman" w:hAnsi="Times New Roman"/>
          <w:b/>
          <w:color w:val="000000"/>
          <w:sz w:val="24"/>
          <w:szCs w:val="24"/>
        </w:rPr>
        <w:t>1</w:t>
      </w:r>
      <w:r w:rsidR="009838AD" w:rsidRPr="001B6056">
        <w:rPr>
          <w:rFonts w:ascii="Times New Roman" w:hAnsi="Times New Roman"/>
          <w:b/>
          <w:color w:val="000000"/>
          <w:sz w:val="24"/>
          <w:szCs w:val="24"/>
        </w:rPr>
        <w:t>4</w:t>
      </w:r>
      <w:r w:rsidR="00EF491C" w:rsidRPr="001B6056">
        <w:rPr>
          <w:rFonts w:ascii="Times New Roman" w:hAnsi="Times New Roman"/>
          <w:b/>
          <w:color w:val="000000"/>
          <w:sz w:val="24"/>
          <w:szCs w:val="24"/>
        </w:rPr>
        <w:t>10</w:t>
      </w:r>
      <w:r w:rsidR="00EB5CEF" w:rsidRPr="001B6056">
        <w:rPr>
          <w:rFonts w:ascii="Times New Roman" w:hAnsi="Times New Roman"/>
          <w:b/>
          <w:color w:val="000000"/>
          <w:sz w:val="24"/>
          <w:szCs w:val="24"/>
        </w:rPr>
        <w:t>/</w:t>
      </w:r>
      <w:r w:rsidRPr="001B6056">
        <w:rPr>
          <w:rFonts w:ascii="Times New Roman" w:hAnsi="Times New Roman"/>
          <w:b/>
          <w:color w:val="000000"/>
          <w:sz w:val="24"/>
          <w:szCs w:val="24"/>
        </w:rPr>
        <w:t>)</w:t>
      </w:r>
      <w:r w:rsidR="00EB5CEF" w:rsidRPr="001B6056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5D1E54" w:rsidRPr="001B6056" w:rsidRDefault="005D1E54" w:rsidP="005D1E54">
      <w:pPr>
        <w:spacing w:before="120"/>
        <w:jc w:val="left"/>
        <w:rPr>
          <w:rFonts w:ascii="Times New Roman" w:hAnsi="Times New Roman"/>
          <w:color w:val="000000"/>
          <w:sz w:val="24"/>
          <w:szCs w:val="24"/>
        </w:rPr>
      </w:pPr>
      <w:r w:rsidRPr="001B6056">
        <w:rPr>
          <w:rFonts w:ascii="Times New Roman" w:hAnsi="Times New Roman"/>
          <w:color w:val="000000"/>
          <w:sz w:val="24"/>
          <w:szCs w:val="24"/>
        </w:rPr>
        <w:t>Many documents in this category may be relevant to EC discussion, including;</w:t>
      </w:r>
    </w:p>
    <w:p w:rsidR="000906C1" w:rsidRPr="009E2CCF" w:rsidRDefault="005D1E54" w:rsidP="000906C1">
      <w:pPr>
        <w:keepLines/>
        <w:numPr>
          <w:ilvl w:val="0"/>
          <w:numId w:val="1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1B6056">
        <w:rPr>
          <w:rFonts w:ascii="Times New Roman" w:hAnsi="Times New Roman"/>
          <w:sz w:val="24"/>
          <w:szCs w:val="24"/>
        </w:rPr>
        <w:t>(</w:t>
      </w:r>
      <w:r w:rsidR="000906C1" w:rsidRPr="009E2CCF">
        <w:rPr>
          <w:rFonts w:ascii="Times New Roman" w:hAnsi="Times New Roman"/>
          <w:sz w:val="24"/>
          <w:szCs w:val="24"/>
        </w:rPr>
        <w:t>Secretariat) Compliance with CCSBT Management Measures</w:t>
      </w:r>
    </w:p>
    <w:p w:rsidR="000906C1" w:rsidRDefault="000906C1" w:rsidP="000906C1">
      <w:pPr>
        <w:keepLines/>
        <w:numPr>
          <w:ilvl w:val="0"/>
          <w:numId w:val="1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9E2CCF">
        <w:rPr>
          <w:rFonts w:ascii="Times New Roman" w:hAnsi="Times New Roman"/>
          <w:sz w:val="24"/>
          <w:szCs w:val="24"/>
        </w:rPr>
        <w:t xml:space="preserve">(Secretariat) </w:t>
      </w:r>
      <w:r w:rsidRPr="00BB0408">
        <w:rPr>
          <w:rFonts w:ascii="Times New Roman" w:hAnsi="Times New Roman"/>
          <w:sz w:val="24"/>
          <w:szCs w:val="24"/>
        </w:rPr>
        <w:t>Draft Updated Three-Year Compliance Action Plan (2015 – 2017)</w:t>
      </w:r>
    </w:p>
    <w:p w:rsidR="000906C1" w:rsidRPr="009E2CCF" w:rsidRDefault="000906C1" w:rsidP="000906C1">
      <w:pPr>
        <w:keepLines/>
        <w:numPr>
          <w:ilvl w:val="0"/>
          <w:numId w:val="1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(Secretariat) </w:t>
      </w:r>
      <w:r w:rsidRPr="009E2CCF">
        <w:rPr>
          <w:rFonts w:ascii="Times New Roman" w:hAnsi="Times New Roman"/>
          <w:sz w:val="24"/>
          <w:szCs w:val="24"/>
        </w:rPr>
        <w:t>Operation of CCSBT MCS Measures</w:t>
      </w:r>
    </w:p>
    <w:p w:rsidR="000906C1" w:rsidRDefault="000906C1" w:rsidP="008C4E19">
      <w:pPr>
        <w:keepLines/>
        <w:numPr>
          <w:ilvl w:val="0"/>
          <w:numId w:val="1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9E2CCF">
        <w:rPr>
          <w:rFonts w:ascii="Times New Roman" w:hAnsi="Times New Roman"/>
          <w:sz w:val="24"/>
          <w:szCs w:val="24"/>
        </w:rPr>
        <w:t xml:space="preserve">(Secretariat) </w:t>
      </w:r>
      <w:r w:rsidR="008C4E19" w:rsidRPr="008C4E19">
        <w:rPr>
          <w:rFonts w:ascii="Times New Roman" w:hAnsi="Times New Roman"/>
          <w:sz w:val="24"/>
          <w:szCs w:val="24"/>
        </w:rPr>
        <w:t>Development of a Revised CCSBT Transhipment Resolution</w:t>
      </w:r>
    </w:p>
    <w:p w:rsidR="000906C1" w:rsidRDefault="000906C1" w:rsidP="000906C1">
      <w:pPr>
        <w:keepLines/>
        <w:numPr>
          <w:ilvl w:val="0"/>
          <w:numId w:val="1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9E2CCF">
        <w:rPr>
          <w:rFonts w:ascii="Times New Roman" w:hAnsi="Times New Roman"/>
          <w:sz w:val="24"/>
          <w:szCs w:val="24"/>
        </w:rPr>
        <w:t xml:space="preserve">(Secretariat) </w:t>
      </w:r>
      <w:r>
        <w:rPr>
          <w:rFonts w:ascii="Times New Roman" w:hAnsi="Times New Roman"/>
          <w:sz w:val="24"/>
          <w:szCs w:val="24"/>
        </w:rPr>
        <w:t>Draft Updated Minimum Performance Requirements</w:t>
      </w:r>
    </w:p>
    <w:p w:rsidR="000906C1" w:rsidRPr="009F14C1" w:rsidRDefault="000906C1" w:rsidP="000906C1">
      <w:pPr>
        <w:keepLines/>
        <w:numPr>
          <w:ilvl w:val="0"/>
          <w:numId w:val="1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9F14C1">
        <w:rPr>
          <w:rFonts w:ascii="Times New Roman" w:hAnsi="Times New Roman"/>
          <w:sz w:val="24"/>
          <w:szCs w:val="24"/>
        </w:rPr>
        <w:t>(Secretariat) Revision of the Resolution on Limited Carry-Forward of Unfished Annual</w:t>
      </w:r>
      <w:r>
        <w:rPr>
          <w:rFonts w:ascii="Times New Roman" w:hAnsi="Times New Roman"/>
          <w:sz w:val="24"/>
          <w:szCs w:val="24"/>
        </w:rPr>
        <w:t xml:space="preserve"> </w:t>
      </w:r>
      <w:r w:rsidRPr="009F14C1">
        <w:rPr>
          <w:rFonts w:ascii="Times New Roman" w:hAnsi="Times New Roman"/>
          <w:sz w:val="24"/>
          <w:szCs w:val="24"/>
        </w:rPr>
        <w:t>Total Allowable Catch of SBT within Three Year Quota Blocks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906C1" w:rsidRPr="009E2CCF" w:rsidRDefault="000906C1" w:rsidP="000906C1">
      <w:pPr>
        <w:keepLines/>
        <w:numPr>
          <w:ilvl w:val="0"/>
          <w:numId w:val="1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9E2CCF">
        <w:rPr>
          <w:rFonts w:ascii="Times New Roman" w:hAnsi="Times New Roman"/>
          <w:sz w:val="24"/>
          <w:szCs w:val="24"/>
        </w:rPr>
        <w:t xml:space="preserve">(Secretariat) GTC’s Report on the </w:t>
      </w:r>
      <w:r>
        <w:rPr>
          <w:rFonts w:ascii="Times New Roman" w:hAnsi="Times New Roman" w:hint="eastAsia"/>
          <w:sz w:val="24"/>
          <w:szCs w:val="24"/>
        </w:rPr>
        <w:t xml:space="preserve">Quality </w:t>
      </w:r>
      <w:r w:rsidRPr="009E2CCF">
        <w:rPr>
          <w:rFonts w:ascii="Times New Roman" w:hAnsi="Times New Roman"/>
          <w:sz w:val="24"/>
          <w:szCs w:val="24"/>
        </w:rPr>
        <w:t>Assurance Review – Australia</w:t>
      </w:r>
    </w:p>
    <w:p w:rsidR="000906C1" w:rsidRPr="009E2CCF" w:rsidRDefault="000906C1" w:rsidP="000906C1">
      <w:pPr>
        <w:keepLines/>
        <w:numPr>
          <w:ilvl w:val="0"/>
          <w:numId w:val="1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9E2CCF">
        <w:rPr>
          <w:rFonts w:ascii="Times New Roman" w:hAnsi="Times New Roman"/>
          <w:sz w:val="24"/>
          <w:szCs w:val="24"/>
        </w:rPr>
        <w:t xml:space="preserve">(Secretariat) GTC’s Report on the </w:t>
      </w:r>
      <w:r>
        <w:rPr>
          <w:rFonts w:ascii="Times New Roman" w:hAnsi="Times New Roman" w:hint="eastAsia"/>
          <w:sz w:val="24"/>
          <w:szCs w:val="24"/>
        </w:rPr>
        <w:t>Quality</w:t>
      </w:r>
      <w:r w:rsidRPr="009E2CCF">
        <w:rPr>
          <w:rFonts w:ascii="Times New Roman" w:hAnsi="Times New Roman"/>
          <w:sz w:val="24"/>
          <w:szCs w:val="24"/>
        </w:rPr>
        <w:t xml:space="preserve"> Assurance Review - </w:t>
      </w:r>
      <w:r>
        <w:rPr>
          <w:rFonts w:ascii="Times New Roman" w:hAnsi="Times New Roman"/>
          <w:sz w:val="24"/>
          <w:szCs w:val="24"/>
        </w:rPr>
        <w:t>Indonesia</w:t>
      </w:r>
    </w:p>
    <w:p w:rsidR="000906C1" w:rsidRDefault="000906C1" w:rsidP="000906C1">
      <w:pPr>
        <w:keepLines/>
        <w:numPr>
          <w:ilvl w:val="0"/>
          <w:numId w:val="1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9E2CCF">
        <w:rPr>
          <w:rFonts w:ascii="Times New Roman" w:hAnsi="Times New Roman"/>
          <w:sz w:val="24"/>
          <w:szCs w:val="24"/>
        </w:rPr>
        <w:t xml:space="preserve">(Secretariat) GTC’s Report on the </w:t>
      </w:r>
      <w:r>
        <w:rPr>
          <w:rFonts w:ascii="Times New Roman" w:hAnsi="Times New Roman" w:hint="eastAsia"/>
          <w:sz w:val="24"/>
          <w:szCs w:val="24"/>
        </w:rPr>
        <w:t>Quality</w:t>
      </w:r>
      <w:r w:rsidRPr="009E2CCF">
        <w:rPr>
          <w:rFonts w:ascii="Times New Roman" w:hAnsi="Times New Roman"/>
          <w:sz w:val="24"/>
          <w:szCs w:val="24"/>
        </w:rPr>
        <w:t xml:space="preserve"> Assurance Review – </w:t>
      </w:r>
      <w:r>
        <w:rPr>
          <w:rFonts w:ascii="Times New Roman" w:hAnsi="Times New Roman"/>
          <w:sz w:val="24"/>
          <w:szCs w:val="24"/>
        </w:rPr>
        <w:t>Taiwan</w:t>
      </w:r>
    </w:p>
    <w:p w:rsidR="000906C1" w:rsidRPr="009E2CCF" w:rsidRDefault="000906C1" w:rsidP="000906C1">
      <w:pPr>
        <w:keepLines/>
        <w:numPr>
          <w:ilvl w:val="0"/>
          <w:numId w:val="1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9E2CCF">
        <w:rPr>
          <w:rFonts w:ascii="Times New Roman" w:hAnsi="Times New Roman"/>
          <w:sz w:val="24"/>
          <w:szCs w:val="24"/>
        </w:rPr>
        <w:t>(Secretariat) GTC’s Report on the overall Quality Assurance Review</w:t>
      </w:r>
    </w:p>
    <w:p w:rsidR="000906C1" w:rsidRDefault="000906C1" w:rsidP="000906C1">
      <w:pPr>
        <w:keepLines/>
        <w:numPr>
          <w:ilvl w:val="0"/>
          <w:numId w:val="1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9E2CCF">
        <w:rPr>
          <w:rFonts w:ascii="Times New Roman" w:hAnsi="Times New Roman"/>
          <w:sz w:val="24"/>
          <w:szCs w:val="24"/>
        </w:rPr>
        <w:t>(Secretariat) Southern Bluefin Tuna Trade Data: Annual Analyses</w:t>
      </w:r>
    </w:p>
    <w:p w:rsidR="000906C1" w:rsidRPr="009E2CCF" w:rsidRDefault="000906C1" w:rsidP="000906C1">
      <w:pPr>
        <w:keepLines/>
        <w:numPr>
          <w:ilvl w:val="0"/>
          <w:numId w:val="1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9E2CCF">
        <w:rPr>
          <w:rFonts w:ascii="Times New Roman" w:hAnsi="Times New Roman"/>
          <w:sz w:val="24"/>
          <w:szCs w:val="24"/>
        </w:rPr>
        <w:t xml:space="preserve">(Secretariat) </w:t>
      </w:r>
      <w:r>
        <w:rPr>
          <w:rFonts w:ascii="Times New Roman" w:hAnsi="Times New Roman"/>
          <w:sz w:val="24"/>
          <w:szCs w:val="24"/>
        </w:rPr>
        <w:t>Updated Draft Port State Measures Resolution</w:t>
      </w:r>
    </w:p>
    <w:p w:rsidR="000906C1" w:rsidRPr="009E2CCF" w:rsidRDefault="000906C1" w:rsidP="000906C1">
      <w:pPr>
        <w:keepLines/>
        <w:numPr>
          <w:ilvl w:val="0"/>
          <w:numId w:val="1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9E2CCF">
        <w:rPr>
          <w:rFonts w:ascii="Times New Roman" w:hAnsi="Times New Roman"/>
          <w:sz w:val="24"/>
          <w:szCs w:val="24"/>
        </w:rPr>
        <w:lastRenderedPageBreak/>
        <w:t xml:space="preserve">(Secretariat) </w:t>
      </w:r>
      <w:proofErr w:type="spellStart"/>
      <w:r w:rsidR="00E4655B" w:rsidRPr="000541D3">
        <w:rPr>
          <w:rFonts w:ascii="Times New Roman" w:hAnsi="Times New Roman"/>
          <w:sz w:val="24"/>
          <w:szCs w:val="24"/>
        </w:rPr>
        <w:t>eCDS</w:t>
      </w:r>
      <w:proofErr w:type="spellEnd"/>
      <w:r w:rsidR="00E4655B" w:rsidRPr="000541D3">
        <w:rPr>
          <w:rFonts w:ascii="Times New Roman" w:hAnsi="Times New Roman"/>
          <w:sz w:val="24"/>
          <w:szCs w:val="24"/>
        </w:rPr>
        <w:t xml:space="preserve"> for the CCSBT - Review of Members concerns and ICCAT’s experiences with e-BCD</w:t>
      </w:r>
    </w:p>
    <w:p w:rsidR="000906C1" w:rsidRDefault="000906C1" w:rsidP="000906C1">
      <w:pPr>
        <w:keepLines/>
        <w:numPr>
          <w:ilvl w:val="0"/>
          <w:numId w:val="1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315625">
        <w:rPr>
          <w:rFonts w:ascii="Times New Roman" w:hAnsi="Times New Roman"/>
          <w:sz w:val="24"/>
          <w:szCs w:val="24"/>
        </w:rPr>
        <w:t>(Secretariat) Summary of current R&amp;D technological developments and tools available to assist certifiers and validators to identify SBT</w:t>
      </w:r>
      <w:r w:rsidRPr="00315625">
        <w:rPr>
          <w:rFonts w:ascii="Times New Roman" w:hAnsi="Times New Roman" w:hint="eastAsia"/>
          <w:sz w:val="24"/>
          <w:szCs w:val="24"/>
        </w:rPr>
        <w:t xml:space="preserve"> </w:t>
      </w:r>
    </w:p>
    <w:p w:rsidR="00DB2235" w:rsidRPr="00072E81" w:rsidRDefault="000906C1" w:rsidP="000906C1">
      <w:pPr>
        <w:keepLines/>
        <w:numPr>
          <w:ilvl w:val="0"/>
          <w:numId w:val="1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906C1">
        <w:rPr>
          <w:rFonts w:ascii="Times New Roman" w:hAnsi="Times New Roman"/>
          <w:sz w:val="24"/>
          <w:szCs w:val="24"/>
        </w:rPr>
        <w:t xml:space="preserve">(New Zealand) </w:t>
      </w:r>
      <w:r w:rsidRPr="000906C1">
        <w:rPr>
          <w:rFonts w:ascii="Times New Roman" w:hAnsi="Times New Roman"/>
          <w:sz w:val="24"/>
        </w:rPr>
        <w:t>Developing a Common Definition of Attributable Catch – Compliance and Implementation Issues</w:t>
      </w:r>
    </w:p>
    <w:p w:rsidR="00072E81" w:rsidRPr="00C95B7F" w:rsidRDefault="00072E81" w:rsidP="000906C1">
      <w:pPr>
        <w:keepLines/>
        <w:numPr>
          <w:ilvl w:val="0"/>
          <w:numId w:val="11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(Japan) </w:t>
      </w:r>
      <w:r w:rsidRPr="006D3759">
        <w:rPr>
          <w:rFonts w:ascii="Times New Roman" w:hAnsi="Times New Roman"/>
          <w:sz w:val="24"/>
        </w:rPr>
        <w:t xml:space="preserve">Monitoring of Southern Bluefin Tuna trading </w:t>
      </w:r>
      <w:r>
        <w:rPr>
          <w:rFonts w:ascii="Times New Roman" w:hAnsi="Times New Roman"/>
          <w:sz w:val="24"/>
        </w:rPr>
        <w:t>i</w:t>
      </w:r>
      <w:r w:rsidRPr="006D3759">
        <w:rPr>
          <w:rFonts w:ascii="Times New Roman" w:hAnsi="Times New Roman"/>
          <w:sz w:val="24"/>
        </w:rPr>
        <w:t>n the Japanese domestic markets: 2014 update</w:t>
      </w:r>
    </w:p>
    <w:p w:rsidR="00A315EF" w:rsidRPr="0005505D" w:rsidRDefault="00A315EF" w:rsidP="00F22320">
      <w:pPr>
        <w:spacing w:before="120"/>
        <w:ind w:left="426"/>
        <w:jc w:val="left"/>
        <w:rPr>
          <w:rFonts w:ascii="Times New Roman" w:hAnsi="Times New Roman"/>
          <w:caps/>
          <w:sz w:val="24"/>
          <w:szCs w:val="24"/>
        </w:rPr>
      </w:pPr>
    </w:p>
    <w:p w:rsidR="00A315EF" w:rsidRDefault="00A315EF" w:rsidP="0092710E">
      <w:pPr>
        <w:spacing w:before="120"/>
        <w:jc w:val="left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(CCSBT-CC/</w:t>
      </w:r>
      <w:r w:rsidR="001E01F0" w:rsidRPr="0005505D">
        <w:rPr>
          <w:rFonts w:ascii="Times New Roman" w:hAnsi="Times New Roman"/>
          <w:b/>
          <w:sz w:val="24"/>
          <w:szCs w:val="24"/>
        </w:rPr>
        <w:t>1</w:t>
      </w:r>
      <w:r w:rsidR="009838AD">
        <w:rPr>
          <w:rFonts w:ascii="Times New Roman" w:hAnsi="Times New Roman"/>
          <w:b/>
          <w:sz w:val="24"/>
          <w:szCs w:val="24"/>
        </w:rPr>
        <w:t>4</w:t>
      </w:r>
      <w:r w:rsidR="008172C7" w:rsidRPr="0005505D">
        <w:rPr>
          <w:rFonts w:ascii="Times New Roman" w:hAnsi="Times New Roman"/>
          <w:b/>
          <w:sz w:val="24"/>
          <w:szCs w:val="24"/>
        </w:rPr>
        <w:t>10</w:t>
      </w:r>
      <w:r w:rsidRPr="0005505D">
        <w:rPr>
          <w:rFonts w:ascii="Times New Roman" w:hAnsi="Times New Roman"/>
          <w:b/>
          <w:sz w:val="24"/>
          <w:szCs w:val="24"/>
        </w:rPr>
        <w:t>/</w:t>
      </w:r>
      <w:proofErr w:type="gramStart"/>
      <w:r w:rsidRPr="0005505D">
        <w:rPr>
          <w:rFonts w:ascii="Times New Roman" w:hAnsi="Times New Roman"/>
          <w:b/>
          <w:sz w:val="24"/>
          <w:szCs w:val="24"/>
        </w:rPr>
        <w:t>BGD )</w:t>
      </w:r>
      <w:proofErr w:type="gramEnd"/>
    </w:p>
    <w:p w:rsidR="001B6056" w:rsidRPr="000906C1" w:rsidRDefault="001B6056" w:rsidP="007B2DBD">
      <w:pPr>
        <w:numPr>
          <w:ilvl w:val="0"/>
          <w:numId w:val="9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0906C1">
        <w:rPr>
          <w:rFonts w:ascii="Times New Roman" w:hAnsi="Times New Roman"/>
          <w:sz w:val="24"/>
          <w:szCs w:val="24"/>
        </w:rPr>
        <w:t>(Japan) Unaccounted catch mortality in Australian SBT farming fishery between 2001 and 2013 estimated from information of TIS and CDS (</w:t>
      </w:r>
      <w:r w:rsidRPr="000906C1">
        <w:rPr>
          <w:rFonts w:ascii="Times New Roman" w:hAnsi="Times New Roman"/>
          <w:i/>
          <w:sz w:val="24"/>
          <w:szCs w:val="24"/>
        </w:rPr>
        <w:t>Previously</w:t>
      </w:r>
      <w:r w:rsidRPr="000906C1">
        <w:rPr>
          <w:rFonts w:ascii="Times New Roman" w:hAnsi="Times New Roman"/>
          <w:sz w:val="24"/>
          <w:szCs w:val="24"/>
        </w:rPr>
        <w:t xml:space="preserve"> </w:t>
      </w:r>
      <w:r w:rsidRPr="000906C1">
        <w:rPr>
          <w:rFonts w:ascii="Times New Roman" w:hAnsi="Times New Roman"/>
          <w:b/>
          <w:sz w:val="24"/>
          <w:szCs w:val="24"/>
        </w:rPr>
        <w:t>CCSBT-OMMP/1406/09</w:t>
      </w:r>
      <w:r w:rsidR="00052094">
        <w:rPr>
          <w:rFonts w:ascii="Times New Roman" w:hAnsi="Times New Roman"/>
          <w:b/>
          <w:sz w:val="24"/>
          <w:szCs w:val="24"/>
        </w:rPr>
        <w:t xml:space="preserve"> (Rev.1)</w:t>
      </w:r>
      <w:r w:rsidRPr="000906C1">
        <w:rPr>
          <w:rFonts w:ascii="Times New Roman" w:hAnsi="Times New Roman"/>
          <w:sz w:val="24"/>
          <w:szCs w:val="24"/>
        </w:rPr>
        <w:t xml:space="preserve">) </w:t>
      </w:r>
    </w:p>
    <w:p w:rsidR="001B6056" w:rsidRPr="0005505D" w:rsidRDefault="001B6056" w:rsidP="001B6056">
      <w:pPr>
        <w:numPr>
          <w:ilvl w:val="0"/>
          <w:numId w:val="9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(Japan</w:t>
      </w:r>
      <w:r w:rsidRPr="009E2CCF">
        <w:rPr>
          <w:rFonts w:ascii="Times New Roman" w:hAnsi="Times New Roman"/>
          <w:sz w:val="24"/>
          <w:szCs w:val="24"/>
        </w:rPr>
        <w:t xml:space="preserve">) </w:t>
      </w:r>
      <w:r w:rsidRPr="00315625">
        <w:rPr>
          <w:rFonts w:ascii="Times New Roman" w:hAnsi="Times New Roman"/>
          <w:sz w:val="24"/>
          <w:szCs w:val="24"/>
        </w:rPr>
        <w:t xml:space="preserve">Report of the International Observation on the 100-fish Sampling Process and the Transfer of SBT in Australian SBT Farming </w:t>
      </w:r>
      <w:r w:rsidRPr="009E2CCF">
        <w:rPr>
          <w:rFonts w:ascii="Times New Roman" w:hAnsi="Times New Roman"/>
          <w:sz w:val="24"/>
          <w:szCs w:val="24"/>
        </w:rPr>
        <w:t>(</w:t>
      </w:r>
      <w:r w:rsidRPr="009E2CCF">
        <w:rPr>
          <w:rFonts w:ascii="Times New Roman" w:hAnsi="Times New Roman"/>
          <w:i/>
          <w:sz w:val="24"/>
          <w:szCs w:val="24"/>
        </w:rPr>
        <w:t>Previously</w:t>
      </w:r>
      <w:r w:rsidRPr="009E2CCF">
        <w:rPr>
          <w:rFonts w:ascii="Times New Roman" w:hAnsi="Times New Roman"/>
          <w:sz w:val="24"/>
          <w:szCs w:val="24"/>
        </w:rPr>
        <w:t xml:space="preserve"> </w:t>
      </w:r>
      <w:r w:rsidRPr="009E2CCF">
        <w:rPr>
          <w:rFonts w:ascii="Times New Roman" w:hAnsi="Times New Roman"/>
          <w:b/>
          <w:sz w:val="24"/>
          <w:szCs w:val="24"/>
        </w:rPr>
        <w:t>CCSBT-</w:t>
      </w:r>
      <w:r>
        <w:rPr>
          <w:rFonts w:ascii="Times New Roman" w:hAnsi="Times New Roman"/>
          <w:b/>
          <w:sz w:val="24"/>
          <w:szCs w:val="24"/>
        </w:rPr>
        <w:t>ESC</w:t>
      </w:r>
      <w:r w:rsidRPr="009E2CCF">
        <w:rPr>
          <w:rFonts w:ascii="Times New Roman" w:hAnsi="Times New Roman"/>
          <w:b/>
          <w:sz w:val="24"/>
          <w:szCs w:val="24"/>
        </w:rPr>
        <w:t>/1</w:t>
      </w:r>
      <w:r>
        <w:rPr>
          <w:rFonts w:ascii="Times New Roman" w:hAnsi="Times New Roman"/>
          <w:b/>
          <w:sz w:val="24"/>
          <w:szCs w:val="24"/>
        </w:rPr>
        <w:t>409</w:t>
      </w:r>
      <w:r w:rsidRPr="009E2CCF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</w:rPr>
        <w:t>40</w:t>
      </w:r>
      <w:r w:rsidRPr="009E2CCF">
        <w:rPr>
          <w:rFonts w:ascii="Times New Roman" w:hAnsi="Times New Roman"/>
          <w:sz w:val="24"/>
          <w:szCs w:val="24"/>
        </w:rPr>
        <w:t xml:space="preserve">) </w:t>
      </w:r>
    </w:p>
    <w:p w:rsidR="00713CC7" w:rsidRPr="0005505D" w:rsidRDefault="00713CC7" w:rsidP="00713CC7">
      <w:pPr>
        <w:keepLines/>
        <w:spacing w:before="120"/>
        <w:ind w:left="420"/>
        <w:jc w:val="left"/>
        <w:rPr>
          <w:rFonts w:ascii="Times New Roman" w:hAnsi="Times New Roman"/>
          <w:sz w:val="24"/>
          <w:szCs w:val="24"/>
        </w:rPr>
      </w:pPr>
    </w:p>
    <w:p w:rsidR="00F22320" w:rsidRPr="0005505D" w:rsidRDefault="00F22320" w:rsidP="00F22320">
      <w:pPr>
        <w:spacing w:before="120"/>
        <w:jc w:val="left"/>
        <w:rPr>
          <w:rFonts w:ascii="Times New Roman" w:hAnsi="Times New Roman"/>
          <w:b/>
          <w:sz w:val="24"/>
          <w:szCs w:val="24"/>
        </w:rPr>
      </w:pPr>
      <w:r w:rsidRPr="0005505D">
        <w:rPr>
          <w:rFonts w:ascii="Times New Roman" w:hAnsi="Times New Roman"/>
          <w:b/>
          <w:sz w:val="24"/>
          <w:szCs w:val="24"/>
        </w:rPr>
        <w:t>(CCSBT-CC/1</w:t>
      </w:r>
      <w:r w:rsidR="009838AD">
        <w:rPr>
          <w:rFonts w:ascii="Times New Roman" w:hAnsi="Times New Roman"/>
          <w:b/>
          <w:sz w:val="24"/>
          <w:szCs w:val="24"/>
        </w:rPr>
        <w:t>4</w:t>
      </w:r>
      <w:r w:rsidR="008172C7" w:rsidRPr="0005505D">
        <w:rPr>
          <w:rFonts w:ascii="Times New Roman" w:hAnsi="Times New Roman"/>
          <w:b/>
          <w:sz w:val="24"/>
          <w:szCs w:val="24"/>
        </w:rPr>
        <w:t>10</w:t>
      </w:r>
      <w:r w:rsidRPr="0005505D">
        <w:rPr>
          <w:rFonts w:ascii="Times New Roman" w:hAnsi="Times New Roman"/>
          <w:b/>
          <w:sz w:val="24"/>
          <w:szCs w:val="24"/>
        </w:rPr>
        <w:t>/</w:t>
      </w:r>
      <w:proofErr w:type="gramStart"/>
      <w:r w:rsidRPr="0005505D">
        <w:rPr>
          <w:rFonts w:ascii="Times New Roman" w:hAnsi="Times New Roman"/>
          <w:b/>
          <w:sz w:val="24"/>
          <w:szCs w:val="24"/>
        </w:rPr>
        <w:t>Info )</w:t>
      </w:r>
      <w:proofErr w:type="gramEnd"/>
    </w:p>
    <w:p w:rsidR="00E23604" w:rsidRPr="009E2CCF" w:rsidRDefault="00E23604" w:rsidP="00E23604">
      <w:pPr>
        <w:keepLines/>
        <w:numPr>
          <w:ilvl w:val="0"/>
          <w:numId w:val="13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1B6056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Australia</w:t>
      </w:r>
      <w:r w:rsidRPr="009E2CCF">
        <w:rPr>
          <w:rFonts w:ascii="Times New Roman" w:hAnsi="Times New Roman"/>
          <w:sz w:val="24"/>
          <w:szCs w:val="24"/>
        </w:rPr>
        <w:t xml:space="preserve">) </w:t>
      </w:r>
      <w:r w:rsidRPr="00E23604">
        <w:rPr>
          <w:rFonts w:ascii="Times New Roman" w:hAnsi="Times New Roman"/>
          <w:sz w:val="24"/>
          <w:szCs w:val="24"/>
        </w:rPr>
        <w:t xml:space="preserve">A Review of Tuna Growth Performance in Ranching and Farming Operations </w:t>
      </w:r>
    </w:p>
    <w:p w:rsidR="00E23604" w:rsidRDefault="00E23604" w:rsidP="00E23604">
      <w:pPr>
        <w:keepLines/>
        <w:numPr>
          <w:ilvl w:val="0"/>
          <w:numId w:val="13"/>
        </w:numPr>
        <w:spacing w:before="120"/>
        <w:jc w:val="left"/>
        <w:rPr>
          <w:rFonts w:ascii="Times New Roman" w:hAnsi="Times New Roman"/>
          <w:sz w:val="24"/>
          <w:szCs w:val="24"/>
        </w:rPr>
      </w:pPr>
      <w:r w:rsidRPr="009E2CCF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Australia</w:t>
      </w:r>
      <w:r w:rsidRPr="009E2CCF">
        <w:rPr>
          <w:rFonts w:ascii="Times New Roman" w:hAnsi="Times New Roman"/>
          <w:sz w:val="24"/>
          <w:szCs w:val="24"/>
        </w:rPr>
        <w:t xml:space="preserve">) </w:t>
      </w:r>
      <w:r w:rsidRPr="00E23604">
        <w:rPr>
          <w:rFonts w:ascii="Times New Roman" w:hAnsi="Times New Roman"/>
          <w:sz w:val="24"/>
          <w:szCs w:val="24"/>
        </w:rPr>
        <w:t xml:space="preserve">Data from Australian industry visit to </w:t>
      </w:r>
      <w:proofErr w:type="spellStart"/>
      <w:r w:rsidRPr="00E23604">
        <w:rPr>
          <w:rFonts w:ascii="Times New Roman" w:hAnsi="Times New Roman"/>
          <w:sz w:val="24"/>
          <w:szCs w:val="24"/>
        </w:rPr>
        <w:t>Tsukiji</w:t>
      </w:r>
      <w:proofErr w:type="spellEnd"/>
      <w:r w:rsidRPr="00E23604">
        <w:rPr>
          <w:rFonts w:ascii="Times New Roman" w:hAnsi="Times New Roman"/>
          <w:sz w:val="24"/>
          <w:szCs w:val="24"/>
        </w:rPr>
        <w:t xml:space="preserve"> market with JFA and OPRT – 4 July 201</w:t>
      </w:r>
      <w:r>
        <w:rPr>
          <w:rFonts w:ascii="Times New Roman" w:hAnsi="Times New Roman"/>
          <w:sz w:val="24"/>
          <w:szCs w:val="24"/>
        </w:rPr>
        <w:t>4</w:t>
      </w:r>
    </w:p>
    <w:p w:rsidR="00B83338" w:rsidRPr="0005505D" w:rsidRDefault="00B83338" w:rsidP="00F22320">
      <w:pPr>
        <w:spacing w:before="120"/>
        <w:rPr>
          <w:rFonts w:ascii="Times New Roman" w:hAnsi="Times New Roman"/>
          <w:sz w:val="24"/>
          <w:szCs w:val="24"/>
          <w:highlight w:val="cyan"/>
        </w:rPr>
      </w:pPr>
    </w:p>
    <w:sectPr w:rsidR="00B83338" w:rsidRPr="0005505D" w:rsidSect="00016885">
      <w:headerReference w:type="first" r:id="rId8"/>
      <w:pgSz w:w="11906" w:h="16838" w:code="9"/>
      <w:pgMar w:top="1701" w:right="1701" w:bottom="1701" w:left="1701" w:header="851" w:footer="851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68A" w:rsidRDefault="00A0468A">
      <w:r>
        <w:separator/>
      </w:r>
    </w:p>
  </w:endnote>
  <w:endnote w:type="continuationSeparator" w:id="0">
    <w:p w:rsidR="00A0468A" w:rsidRDefault="00A0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68A" w:rsidRDefault="00A0468A">
      <w:r>
        <w:separator/>
      </w:r>
    </w:p>
  </w:footnote>
  <w:footnote w:type="continuationSeparator" w:id="0">
    <w:p w:rsidR="00A0468A" w:rsidRDefault="00A0468A">
      <w:r>
        <w:continuationSeparator/>
      </w:r>
    </w:p>
  </w:footnote>
  <w:footnote w:id="1">
    <w:p w:rsidR="00C808BB" w:rsidRPr="0005505D" w:rsidRDefault="00C808BB">
      <w:pPr>
        <w:pStyle w:val="FootnoteText"/>
        <w:rPr>
          <w:sz w:val="18"/>
          <w:szCs w:val="18"/>
        </w:rPr>
      </w:pPr>
      <w:r w:rsidRPr="0005505D">
        <w:rPr>
          <w:rStyle w:val="FootnoteReference"/>
          <w:sz w:val="18"/>
          <w:szCs w:val="18"/>
        </w:rPr>
        <w:footnoteRef/>
      </w:r>
      <w:r w:rsidRPr="0005505D">
        <w:rPr>
          <w:sz w:val="18"/>
          <w:szCs w:val="18"/>
        </w:rPr>
        <w:t xml:space="preserve"> </w:t>
      </w:r>
      <w:r w:rsidRPr="0005505D">
        <w:rPr>
          <w:rFonts w:hint="eastAsia"/>
          <w:sz w:val="18"/>
          <w:szCs w:val="18"/>
        </w:rPr>
        <w:t>Documents from CC meeting which M</w:t>
      </w:r>
      <w:r w:rsidRPr="0005505D">
        <w:rPr>
          <w:sz w:val="18"/>
          <w:szCs w:val="18"/>
        </w:rPr>
        <w:t>ember</w:t>
      </w:r>
      <w:r w:rsidRPr="0005505D">
        <w:rPr>
          <w:rFonts w:hint="eastAsia"/>
          <w:sz w:val="18"/>
          <w:szCs w:val="18"/>
        </w:rPr>
        <w:t xml:space="preserve">s </w:t>
      </w:r>
      <w:r w:rsidRPr="0005505D">
        <w:rPr>
          <w:sz w:val="18"/>
          <w:szCs w:val="18"/>
        </w:rPr>
        <w:t xml:space="preserve">might </w:t>
      </w:r>
      <w:r w:rsidRPr="0005505D">
        <w:rPr>
          <w:rFonts w:hint="eastAsia"/>
          <w:sz w:val="18"/>
          <w:szCs w:val="18"/>
        </w:rPr>
        <w:t xml:space="preserve">want to </w:t>
      </w:r>
      <w:r w:rsidRPr="0005505D">
        <w:rPr>
          <w:sz w:val="18"/>
          <w:szCs w:val="18"/>
        </w:rPr>
        <w:t>discuss at the Extended Commission (EC) meeting</w:t>
      </w:r>
      <w:r w:rsidRPr="0005505D">
        <w:rPr>
          <w:rFonts w:hint="eastAsia"/>
          <w:sz w:val="18"/>
          <w:szCs w:val="18"/>
        </w:rPr>
        <w:t>. T</w:t>
      </w:r>
      <w:r w:rsidRPr="0005505D">
        <w:rPr>
          <w:sz w:val="18"/>
          <w:szCs w:val="18"/>
        </w:rPr>
        <w:t>h</w:t>
      </w:r>
      <w:r w:rsidRPr="0005505D">
        <w:rPr>
          <w:rFonts w:hint="eastAsia"/>
          <w:sz w:val="18"/>
          <w:szCs w:val="18"/>
        </w:rPr>
        <w:t xml:space="preserve">ese </w:t>
      </w:r>
      <w:r w:rsidRPr="0005505D">
        <w:rPr>
          <w:sz w:val="18"/>
          <w:szCs w:val="18"/>
        </w:rPr>
        <w:t>document</w:t>
      </w:r>
      <w:r w:rsidRPr="0005505D">
        <w:rPr>
          <w:rFonts w:hint="eastAsia"/>
          <w:sz w:val="18"/>
          <w:szCs w:val="18"/>
        </w:rPr>
        <w:t>s</w:t>
      </w:r>
      <w:r w:rsidRPr="0005505D">
        <w:rPr>
          <w:sz w:val="18"/>
          <w:szCs w:val="18"/>
        </w:rPr>
        <w:t xml:space="preserve"> will not be renumbered</w:t>
      </w:r>
      <w:r w:rsidRPr="0005505D">
        <w:rPr>
          <w:rFonts w:hint="eastAsi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BB" w:rsidRPr="00016885" w:rsidRDefault="00C808BB" w:rsidP="003D21BC">
    <w:pPr>
      <w:pStyle w:val="Header"/>
      <w:wordWrap w:val="0"/>
      <w:jc w:val="right"/>
      <w:rPr>
        <w:rFonts w:ascii="Times New Roman" w:hAnsi="Times New Roman"/>
        <w:b/>
        <w:sz w:val="24"/>
        <w:szCs w:val="24"/>
      </w:rPr>
    </w:pPr>
    <w:r w:rsidRPr="00016885">
      <w:rPr>
        <w:rFonts w:ascii="Times New Roman" w:hAnsi="Times New Roman"/>
        <w:b/>
        <w:sz w:val="24"/>
        <w:szCs w:val="24"/>
      </w:rPr>
      <w:t>D</w:t>
    </w:r>
    <w:r>
      <w:rPr>
        <w:rFonts w:ascii="Times New Roman" w:hAnsi="Times New Roman"/>
        <w:b/>
        <w:sz w:val="24"/>
        <w:szCs w:val="24"/>
      </w:rPr>
      <w:t>raft</w:t>
    </w:r>
    <w:r>
      <w:rPr>
        <w:rFonts w:ascii="Times New Roman" w:hAnsi="Times New Roman" w:hint="eastAsia"/>
        <w:b/>
        <w:sz w:val="24"/>
        <w:szCs w:val="24"/>
      </w:rPr>
      <w:t xml:space="preserve"> </w:t>
    </w:r>
    <w:r w:rsidR="006A257D">
      <w:rPr>
        <w:rFonts w:ascii="Times New Roman" w:hAnsi="Times New Roman"/>
        <w:b/>
        <w:sz w:val="24"/>
        <w:szCs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201176"/>
    <w:multiLevelType w:val="hybridMultilevel"/>
    <w:tmpl w:val="2AD6AE72"/>
    <w:lvl w:ilvl="0" w:tplc="E9B2EEDC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A7688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DA875F3"/>
    <w:multiLevelType w:val="hybridMultilevel"/>
    <w:tmpl w:val="997EDC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350253EA"/>
    <w:multiLevelType w:val="hybridMultilevel"/>
    <w:tmpl w:val="E8C20934"/>
    <w:lvl w:ilvl="0" w:tplc="C4520AE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10805F3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8467041"/>
    <w:multiLevelType w:val="hybridMultilevel"/>
    <w:tmpl w:val="90CC5752"/>
    <w:lvl w:ilvl="0" w:tplc="8DB49BE0">
      <w:start w:val="10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B8437E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0654E3C"/>
    <w:multiLevelType w:val="hybridMultilevel"/>
    <w:tmpl w:val="AA2289C0"/>
    <w:lvl w:ilvl="0" w:tplc="A81A8CD2">
      <w:start w:val="1"/>
      <w:numFmt w:val="decimal"/>
      <w:lvlText w:val="%1."/>
      <w:lvlJc w:val="left"/>
      <w:pPr>
        <w:ind w:left="420" w:hanging="420"/>
      </w:pPr>
      <w:rPr>
        <w:rFonts w:hint="eastAsia"/>
        <w:b w:val="0"/>
        <w:lang w:val="en-AU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59379E9"/>
    <w:multiLevelType w:val="hybridMultilevel"/>
    <w:tmpl w:val="3F6220E2"/>
    <w:lvl w:ilvl="0" w:tplc="47F62F02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E12876"/>
    <w:multiLevelType w:val="hybridMultilevel"/>
    <w:tmpl w:val="BC76A5F8"/>
    <w:lvl w:ilvl="0" w:tplc="BFC46A92">
      <w:start w:val="5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72130"/>
    <w:multiLevelType w:val="hybridMultilevel"/>
    <w:tmpl w:val="D2E89D36"/>
    <w:lvl w:ilvl="0" w:tplc="974231E8">
      <w:start w:val="4"/>
      <w:numFmt w:val="decimal"/>
      <w:lvlText w:val="%1."/>
      <w:lvlJc w:val="left"/>
      <w:pPr>
        <w:ind w:left="420" w:hanging="420"/>
      </w:pPr>
      <w:rPr>
        <w:rFonts w:hint="eastAsia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673FD"/>
    <w:multiLevelType w:val="hybridMultilevel"/>
    <w:tmpl w:val="297E18D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B07D7D"/>
    <w:multiLevelType w:val="hybridMultilevel"/>
    <w:tmpl w:val="7EA06046"/>
    <w:lvl w:ilvl="0" w:tplc="BD0E6CAA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4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3"/>
  </w:num>
  <w:num w:numId="11">
    <w:abstractNumId w:val="8"/>
  </w:num>
  <w:num w:numId="12">
    <w:abstractNumId w:val="1"/>
  </w:num>
  <w:num w:numId="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FD"/>
    <w:rsid w:val="000068BA"/>
    <w:rsid w:val="000119B5"/>
    <w:rsid w:val="00016885"/>
    <w:rsid w:val="00016D73"/>
    <w:rsid w:val="000337E6"/>
    <w:rsid w:val="0003445F"/>
    <w:rsid w:val="000351E1"/>
    <w:rsid w:val="000503D6"/>
    <w:rsid w:val="00051D24"/>
    <w:rsid w:val="00052094"/>
    <w:rsid w:val="0005245E"/>
    <w:rsid w:val="00054675"/>
    <w:rsid w:val="00054DC2"/>
    <w:rsid w:val="0005505D"/>
    <w:rsid w:val="00057E12"/>
    <w:rsid w:val="00065785"/>
    <w:rsid w:val="00072E81"/>
    <w:rsid w:val="0007429D"/>
    <w:rsid w:val="0007792D"/>
    <w:rsid w:val="00084A9E"/>
    <w:rsid w:val="000906C1"/>
    <w:rsid w:val="0009190A"/>
    <w:rsid w:val="000A0620"/>
    <w:rsid w:val="000A0F31"/>
    <w:rsid w:val="000C37CD"/>
    <w:rsid w:val="000D3891"/>
    <w:rsid w:val="000D522C"/>
    <w:rsid w:val="000D7847"/>
    <w:rsid w:val="000E3D4E"/>
    <w:rsid w:val="000F0C6F"/>
    <w:rsid w:val="000F1089"/>
    <w:rsid w:val="000F42A9"/>
    <w:rsid w:val="00106022"/>
    <w:rsid w:val="001100BF"/>
    <w:rsid w:val="00122CD4"/>
    <w:rsid w:val="00140CFB"/>
    <w:rsid w:val="00161A2A"/>
    <w:rsid w:val="0016656F"/>
    <w:rsid w:val="0016764C"/>
    <w:rsid w:val="0017746C"/>
    <w:rsid w:val="0018213F"/>
    <w:rsid w:val="00185250"/>
    <w:rsid w:val="001914A6"/>
    <w:rsid w:val="001969B7"/>
    <w:rsid w:val="001A49C8"/>
    <w:rsid w:val="001B6056"/>
    <w:rsid w:val="001B648F"/>
    <w:rsid w:val="001D5B72"/>
    <w:rsid w:val="001D749A"/>
    <w:rsid w:val="001E01F0"/>
    <w:rsid w:val="001F0196"/>
    <w:rsid w:val="001F162D"/>
    <w:rsid w:val="001F3B2E"/>
    <w:rsid w:val="0021020D"/>
    <w:rsid w:val="002128AC"/>
    <w:rsid w:val="002176CE"/>
    <w:rsid w:val="00222823"/>
    <w:rsid w:val="00232991"/>
    <w:rsid w:val="00233116"/>
    <w:rsid w:val="002335C2"/>
    <w:rsid w:val="00235C7B"/>
    <w:rsid w:val="002452B2"/>
    <w:rsid w:val="002545F7"/>
    <w:rsid w:val="0026549C"/>
    <w:rsid w:val="002674E5"/>
    <w:rsid w:val="00271A06"/>
    <w:rsid w:val="0027417C"/>
    <w:rsid w:val="002811CF"/>
    <w:rsid w:val="00291927"/>
    <w:rsid w:val="00292317"/>
    <w:rsid w:val="0029490D"/>
    <w:rsid w:val="00296E38"/>
    <w:rsid w:val="002A3B73"/>
    <w:rsid w:val="002A3BA0"/>
    <w:rsid w:val="002A5262"/>
    <w:rsid w:val="002A5DAD"/>
    <w:rsid w:val="002B6EC4"/>
    <w:rsid w:val="002B7F6D"/>
    <w:rsid w:val="002C5171"/>
    <w:rsid w:val="002C6679"/>
    <w:rsid w:val="002D23A4"/>
    <w:rsid w:val="002D50E7"/>
    <w:rsid w:val="002D5CF2"/>
    <w:rsid w:val="002F1F10"/>
    <w:rsid w:val="002F45AC"/>
    <w:rsid w:val="00302285"/>
    <w:rsid w:val="00306C31"/>
    <w:rsid w:val="00311E24"/>
    <w:rsid w:val="003139DF"/>
    <w:rsid w:val="00325A5C"/>
    <w:rsid w:val="00332450"/>
    <w:rsid w:val="003333D2"/>
    <w:rsid w:val="00342249"/>
    <w:rsid w:val="0034616F"/>
    <w:rsid w:val="00353C9F"/>
    <w:rsid w:val="00365340"/>
    <w:rsid w:val="00370DC2"/>
    <w:rsid w:val="00373F18"/>
    <w:rsid w:val="003854B6"/>
    <w:rsid w:val="00392A51"/>
    <w:rsid w:val="0039339D"/>
    <w:rsid w:val="00397ACD"/>
    <w:rsid w:val="003A5714"/>
    <w:rsid w:val="003B21CF"/>
    <w:rsid w:val="003C1C2E"/>
    <w:rsid w:val="003C38BC"/>
    <w:rsid w:val="003D0D87"/>
    <w:rsid w:val="003D192C"/>
    <w:rsid w:val="003D21BC"/>
    <w:rsid w:val="003D2F10"/>
    <w:rsid w:val="003D7D25"/>
    <w:rsid w:val="003E3692"/>
    <w:rsid w:val="003E399A"/>
    <w:rsid w:val="003F6FDF"/>
    <w:rsid w:val="00413D46"/>
    <w:rsid w:val="00414A4D"/>
    <w:rsid w:val="00417993"/>
    <w:rsid w:val="00435CA5"/>
    <w:rsid w:val="00435FC6"/>
    <w:rsid w:val="00436D69"/>
    <w:rsid w:val="00440077"/>
    <w:rsid w:val="004425A9"/>
    <w:rsid w:val="00442DC4"/>
    <w:rsid w:val="00455E70"/>
    <w:rsid w:val="0046033B"/>
    <w:rsid w:val="00460C69"/>
    <w:rsid w:val="0046112E"/>
    <w:rsid w:val="00472800"/>
    <w:rsid w:val="00472D20"/>
    <w:rsid w:val="00474275"/>
    <w:rsid w:val="004807BB"/>
    <w:rsid w:val="004815EC"/>
    <w:rsid w:val="0048251B"/>
    <w:rsid w:val="004829A0"/>
    <w:rsid w:val="00483EB8"/>
    <w:rsid w:val="004959AC"/>
    <w:rsid w:val="004A07D8"/>
    <w:rsid w:val="004A461D"/>
    <w:rsid w:val="004A7749"/>
    <w:rsid w:val="004B0A2B"/>
    <w:rsid w:val="004B30F2"/>
    <w:rsid w:val="004B5C22"/>
    <w:rsid w:val="004C49EB"/>
    <w:rsid w:val="004C5B6B"/>
    <w:rsid w:val="004C7C4B"/>
    <w:rsid w:val="004D2A4F"/>
    <w:rsid w:val="004D5E96"/>
    <w:rsid w:val="004E1596"/>
    <w:rsid w:val="004E329D"/>
    <w:rsid w:val="005040FF"/>
    <w:rsid w:val="005043AB"/>
    <w:rsid w:val="0050723E"/>
    <w:rsid w:val="005108D6"/>
    <w:rsid w:val="00511175"/>
    <w:rsid w:val="0051448B"/>
    <w:rsid w:val="00514A6A"/>
    <w:rsid w:val="00516726"/>
    <w:rsid w:val="00517EA2"/>
    <w:rsid w:val="00525590"/>
    <w:rsid w:val="005256A6"/>
    <w:rsid w:val="005301F0"/>
    <w:rsid w:val="00531656"/>
    <w:rsid w:val="005326B2"/>
    <w:rsid w:val="00537934"/>
    <w:rsid w:val="00537D87"/>
    <w:rsid w:val="005441D0"/>
    <w:rsid w:val="00544F5D"/>
    <w:rsid w:val="00554E24"/>
    <w:rsid w:val="0056586E"/>
    <w:rsid w:val="0057429F"/>
    <w:rsid w:val="00583CB0"/>
    <w:rsid w:val="00592DB0"/>
    <w:rsid w:val="005976E8"/>
    <w:rsid w:val="005A1597"/>
    <w:rsid w:val="005A190F"/>
    <w:rsid w:val="005A1F5E"/>
    <w:rsid w:val="005A72F3"/>
    <w:rsid w:val="005B6133"/>
    <w:rsid w:val="005C2384"/>
    <w:rsid w:val="005C3AF8"/>
    <w:rsid w:val="005D1E54"/>
    <w:rsid w:val="005D2FC9"/>
    <w:rsid w:val="005D36DE"/>
    <w:rsid w:val="005E0793"/>
    <w:rsid w:val="005E7CC2"/>
    <w:rsid w:val="005F497C"/>
    <w:rsid w:val="005F5FCA"/>
    <w:rsid w:val="00614A29"/>
    <w:rsid w:val="00615B36"/>
    <w:rsid w:val="00641993"/>
    <w:rsid w:val="00650ABD"/>
    <w:rsid w:val="00652C2E"/>
    <w:rsid w:val="0065350B"/>
    <w:rsid w:val="006553BB"/>
    <w:rsid w:val="00671C9B"/>
    <w:rsid w:val="006737C8"/>
    <w:rsid w:val="00675366"/>
    <w:rsid w:val="00686895"/>
    <w:rsid w:val="006A257D"/>
    <w:rsid w:val="006A5224"/>
    <w:rsid w:val="006B492E"/>
    <w:rsid w:val="006C6B55"/>
    <w:rsid w:val="006C6B7D"/>
    <w:rsid w:val="006D6E3E"/>
    <w:rsid w:val="006E47FF"/>
    <w:rsid w:val="006E4864"/>
    <w:rsid w:val="006E6BC9"/>
    <w:rsid w:val="006F347E"/>
    <w:rsid w:val="006F41C1"/>
    <w:rsid w:val="006F58A6"/>
    <w:rsid w:val="006F7488"/>
    <w:rsid w:val="007137EB"/>
    <w:rsid w:val="00713CC7"/>
    <w:rsid w:val="00720BD3"/>
    <w:rsid w:val="007213CD"/>
    <w:rsid w:val="00726BE8"/>
    <w:rsid w:val="007303C4"/>
    <w:rsid w:val="00736159"/>
    <w:rsid w:val="00736F5C"/>
    <w:rsid w:val="00755E21"/>
    <w:rsid w:val="007570CC"/>
    <w:rsid w:val="007645B8"/>
    <w:rsid w:val="00766598"/>
    <w:rsid w:val="0077006B"/>
    <w:rsid w:val="00774AFD"/>
    <w:rsid w:val="00774B1E"/>
    <w:rsid w:val="00777417"/>
    <w:rsid w:val="0078008C"/>
    <w:rsid w:val="00780C97"/>
    <w:rsid w:val="00780E03"/>
    <w:rsid w:val="007841CE"/>
    <w:rsid w:val="00796E5F"/>
    <w:rsid w:val="007A0C95"/>
    <w:rsid w:val="007A12EC"/>
    <w:rsid w:val="007A4019"/>
    <w:rsid w:val="007B158D"/>
    <w:rsid w:val="007B6B7D"/>
    <w:rsid w:val="007C31D1"/>
    <w:rsid w:val="007D0535"/>
    <w:rsid w:val="007D2497"/>
    <w:rsid w:val="007D2ECD"/>
    <w:rsid w:val="007E544C"/>
    <w:rsid w:val="007F0FD3"/>
    <w:rsid w:val="007F1564"/>
    <w:rsid w:val="007F631E"/>
    <w:rsid w:val="00800DD6"/>
    <w:rsid w:val="00802284"/>
    <w:rsid w:val="00804C72"/>
    <w:rsid w:val="008172C7"/>
    <w:rsid w:val="008249E2"/>
    <w:rsid w:val="00826312"/>
    <w:rsid w:val="00827FD8"/>
    <w:rsid w:val="00833800"/>
    <w:rsid w:val="00834E12"/>
    <w:rsid w:val="00846A1F"/>
    <w:rsid w:val="0086380A"/>
    <w:rsid w:val="00872022"/>
    <w:rsid w:val="0087332C"/>
    <w:rsid w:val="00876F30"/>
    <w:rsid w:val="00880056"/>
    <w:rsid w:val="00880A52"/>
    <w:rsid w:val="00884C99"/>
    <w:rsid w:val="00891FF1"/>
    <w:rsid w:val="00892781"/>
    <w:rsid w:val="008943A9"/>
    <w:rsid w:val="008A3BAA"/>
    <w:rsid w:val="008B0AAD"/>
    <w:rsid w:val="008B3300"/>
    <w:rsid w:val="008C1587"/>
    <w:rsid w:val="008C3AF7"/>
    <w:rsid w:val="008C476F"/>
    <w:rsid w:val="008C4E19"/>
    <w:rsid w:val="008C67BE"/>
    <w:rsid w:val="008D5407"/>
    <w:rsid w:val="008D6025"/>
    <w:rsid w:val="008D6B02"/>
    <w:rsid w:val="008E3180"/>
    <w:rsid w:val="008E6177"/>
    <w:rsid w:val="008F2EF6"/>
    <w:rsid w:val="008F33DE"/>
    <w:rsid w:val="008F7AAA"/>
    <w:rsid w:val="00901643"/>
    <w:rsid w:val="00902345"/>
    <w:rsid w:val="00905B11"/>
    <w:rsid w:val="00907AA5"/>
    <w:rsid w:val="00911A78"/>
    <w:rsid w:val="00917703"/>
    <w:rsid w:val="00920403"/>
    <w:rsid w:val="00925863"/>
    <w:rsid w:val="00925CDD"/>
    <w:rsid w:val="0092710E"/>
    <w:rsid w:val="009279BD"/>
    <w:rsid w:val="00927FB4"/>
    <w:rsid w:val="009414DF"/>
    <w:rsid w:val="00944DB2"/>
    <w:rsid w:val="00947B3F"/>
    <w:rsid w:val="00951DE7"/>
    <w:rsid w:val="00953819"/>
    <w:rsid w:val="0096151D"/>
    <w:rsid w:val="00966D1A"/>
    <w:rsid w:val="0097162A"/>
    <w:rsid w:val="0098196C"/>
    <w:rsid w:val="009838AD"/>
    <w:rsid w:val="00992815"/>
    <w:rsid w:val="0099756C"/>
    <w:rsid w:val="00997C1D"/>
    <w:rsid w:val="009A1030"/>
    <w:rsid w:val="009A419D"/>
    <w:rsid w:val="009A66AC"/>
    <w:rsid w:val="009B1C79"/>
    <w:rsid w:val="009B2899"/>
    <w:rsid w:val="009B2E24"/>
    <w:rsid w:val="009B3249"/>
    <w:rsid w:val="009C6A34"/>
    <w:rsid w:val="009D2627"/>
    <w:rsid w:val="009D3EA3"/>
    <w:rsid w:val="009D737F"/>
    <w:rsid w:val="009E21F5"/>
    <w:rsid w:val="009E2E38"/>
    <w:rsid w:val="009E3ACD"/>
    <w:rsid w:val="009E57FA"/>
    <w:rsid w:val="009F79C4"/>
    <w:rsid w:val="00A0468A"/>
    <w:rsid w:val="00A1549E"/>
    <w:rsid w:val="00A17E88"/>
    <w:rsid w:val="00A315EF"/>
    <w:rsid w:val="00A3235B"/>
    <w:rsid w:val="00A369BE"/>
    <w:rsid w:val="00A37157"/>
    <w:rsid w:val="00A42F4A"/>
    <w:rsid w:val="00A439A2"/>
    <w:rsid w:val="00A46C0C"/>
    <w:rsid w:val="00A5172C"/>
    <w:rsid w:val="00A53114"/>
    <w:rsid w:val="00A64CD0"/>
    <w:rsid w:val="00A6795F"/>
    <w:rsid w:val="00A702A3"/>
    <w:rsid w:val="00A73947"/>
    <w:rsid w:val="00A7556D"/>
    <w:rsid w:val="00A841E8"/>
    <w:rsid w:val="00A871AE"/>
    <w:rsid w:val="00AA015C"/>
    <w:rsid w:val="00AA4272"/>
    <w:rsid w:val="00AB3B69"/>
    <w:rsid w:val="00AC3B2E"/>
    <w:rsid w:val="00AC7BAC"/>
    <w:rsid w:val="00AD16B4"/>
    <w:rsid w:val="00AD20DB"/>
    <w:rsid w:val="00AD43C1"/>
    <w:rsid w:val="00AD65FA"/>
    <w:rsid w:val="00AE4DBB"/>
    <w:rsid w:val="00AE75B8"/>
    <w:rsid w:val="00AF6CA4"/>
    <w:rsid w:val="00B004BA"/>
    <w:rsid w:val="00B008B7"/>
    <w:rsid w:val="00B03228"/>
    <w:rsid w:val="00B078D6"/>
    <w:rsid w:val="00B11492"/>
    <w:rsid w:val="00B155B3"/>
    <w:rsid w:val="00B30AC4"/>
    <w:rsid w:val="00B32312"/>
    <w:rsid w:val="00B3583F"/>
    <w:rsid w:val="00B441DF"/>
    <w:rsid w:val="00B50D0C"/>
    <w:rsid w:val="00B51F14"/>
    <w:rsid w:val="00B5256E"/>
    <w:rsid w:val="00B57229"/>
    <w:rsid w:val="00B60A7C"/>
    <w:rsid w:val="00B6185D"/>
    <w:rsid w:val="00B653B1"/>
    <w:rsid w:val="00B66E1A"/>
    <w:rsid w:val="00B72E6A"/>
    <w:rsid w:val="00B83338"/>
    <w:rsid w:val="00B94C65"/>
    <w:rsid w:val="00BA7A4A"/>
    <w:rsid w:val="00BB7561"/>
    <w:rsid w:val="00BC45EF"/>
    <w:rsid w:val="00BE1832"/>
    <w:rsid w:val="00BE3907"/>
    <w:rsid w:val="00BF796D"/>
    <w:rsid w:val="00C02A9F"/>
    <w:rsid w:val="00C03104"/>
    <w:rsid w:val="00C12014"/>
    <w:rsid w:val="00C128E9"/>
    <w:rsid w:val="00C20ADF"/>
    <w:rsid w:val="00C40E90"/>
    <w:rsid w:val="00C51680"/>
    <w:rsid w:val="00C53496"/>
    <w:rsid w:val="00C547DC"/>
    <w:rsid w:val="00C574AE"/>
    <w:rsid w:val="00C57A6D"/>
    <w:rsid w:val="00C7445A"/>
    <w:rsid w:val="00C808BB"/>
    <w:rsid w:val="00C82893"/>
    <w:rsid w:val="00C95B7F"/>
    <w:rsid w:val="00CA4BD0"/>
    <w:rsid w:val="00CA7C97"/>
    <w:rsid w:val="00CB57A3"/>
    <w:rsid w:val="00CC5BAC"/>
    <w:rsid w:val="00CE1F78"/>
    <w:rsid w:val="00CE459F"/>
    <w:rsid w:val="00CE710C"/>
    <w:rsid w:val="00CE7E11"/>
    <w:rsid w:val="00D0035B"/>
    <w:rsid w:val="00D00A58"/>
    <w:rsid w:val="00D131A1"/>
    <w:rsid w:val="00D138E2"/>
    <w:rsid w:val="00D31764"/>
    <w:rsid w:val="00D42DA4"/>
    <w:rsid w:val="00D62633"/>
    <w:rsid w:val="00D71ECC"/>
    <w:rsid w:val="00D721DF"/>
    <w:rsid w:val="00D733C0"/>
    <w:rsid w:val="00DB2235"/>
    <w:rsid w:val="00DB4F18"/>
    <w:rsid w:val="00DB528A"/>
    <w:rsid w:val="00DB7F9F"/>
    <w:rsid w:val="00DD2F05"/>
    <w:rsid w:val="00DD4292"/>
    <w:rsid w:val="00DD4C0E"/>
    <w:rsid w:val="00DE2710"/>
    <w:rsid w:val="00DE5A80"/>
    <w:rsid w:val="00DE5EC3"/>
    <w:rsid w:val="00DF0029"/>
    <w:rsid w:val="00DF5E66"/>
    <w:rsid w:val="00E04F45"/>
    <w:rsid w:val="00E059D3"/>
    <w:rsid w:val="00E123C3"/>
    <w:rsid w:val="00E1656D"/>
    <w:rsid w:val="00E16C4E"/>
    <w:rsid w:val="00E16DB7"/>
    <w:rsid w:val="00E226EE"/>
    <w:rsid w:val="00E23604"/>
    <w:rsid w:val="00E316C0"/>
    <w:rsid w:val="00E423F0"/>
    <w:rsid w:val="00E4655B"/>
    <w:rsid w:val="00E54CF0"/>
    <w:rsid w:val="00E770B4"/>
    <w:rsid w:val="00E85EE6"/>
    <w:rsid w:val="00E9649B"/>
    <w:rsid w:val="00E96FE2"/>
    <w:rsid w:val="00EA6A1B"/>
    <w:rsid w:val="00EA6BED"/>
    <w:rsid w:val="00EB3446"/>
    <w:rsid w:val="00EB5CEF"/>
    <w:rsid w:val="00EB6D08"/>
    <w:rsid w:val="00EC030A"/>
    <w:rsid w:val="00EC07BC"/>
    <w:rsid w:val="00EC502C"/>
    <w:rsid w:val="00ED1311"/>
    <w:rsid w:val="00ED2B6D"/>
    <w:rsid w:val="00EE4B9B"/>
    <w:rsid w:val="00EE61F1"/>
    <w:rsid w:val="00EF491C"/>
    <w:rsid w:val="00EF7609"/>
    <w:rsid w:val="00F0108A"/>
    <w:rsid w:val="00F01376"/>
    <w:rsid w:val="00F153E7"/>
    <w:rsid w:val="00F1585D"/>
    <w:rsid w:val="00F22320"/>
    <w:rsid w:val="00F36B40"/>
    <w:rsid w:val="00F36BC7"/>
    <w:rsid w:val="00F52920"/>
    <w:rsid w:val="00F54B90"/>
    <w:rsid w:val="00F56966"/>
    <w:rsid w:val="00F62BC6"/>
    <w:rsid w:val="00F638E8"/>
    <w:rsid w:val="00F73853"/>
    <w:rsid w:val="00F74F50"/>
    <w:rsid w:val="00F75FE7"/>
    <w:rsid w:val="00F80F6B"/>
    <w:rsid w:val="00FA477E"/>
    <w:rsid w:val="00FA65D0"/>
    <w:rsid w:val="00FB0825"/>
    <w:rsid w:val="00FC4C99"/>
    <w:rsid w:val="00FC618F"/>
    <w:rsid w:val="00FC6A2B"/>
    <w:rsid w:val="00FD3431"/>
    <w:rsid w:val="00FD68AB"/>
    <w:rsid w:val="00FD7BCD"/>
    <w:rsid w:val="00FE2489"/>
    <w:rsid w:val="00FE5DFC"/>
    <w:rsid w:val="00FE6778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AB86A7-7FDF-4B4E-A32E-E99BD095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lang w:eastAsia="ja-JP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Indent"/>
    <w:qFormat/>
    <w:pPr>
      <w:keepNext/>
      <w:outlineLvl w:val="1"/>
    </w:pPr>
    <w:rPr>
      <w:rFonts w:ascii="Arial" w:eastAsia="MS Gothic" w:hAnsi="Arial"/>
    </w:rPr>
  </w:style>
  <w:style w:type="paragraph" w:styleId="Heading3">
    <w:name w:val="heading 3"/>
    <w:basedOn w:val="Normal"/>
    <w:next w:val="NormalIndent"/>
    <w:qFormat/>
    <w:pPr>
      <w:keepNext/>
      <w:jc w:val="center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pPr>
      <w:keepNext/>
      <w:jc w:val="right"/>
      <w:outlineLvl w:val="3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359"/>
    </w:pPr>
  </w:style>
  <w:style w:type="paragraph" w:styleId="BodyTextIndent2">
    <w:name w:val="Body Text Indent 2"/>
    <w:basedOn w:val="Normal"/>
    <w:pPr>
      <w:ind w:left="359"/>
      <w:jc w:val="left"/>
    </w:pPr>
  </w:style>
  <w:style w:type="paragraph" w:styleId="BodyText">
    <w:name w:val="Body Text"/>
    <w:basedOn w:val="Normal"/>
    <w:pPr>
      <w:widowControl/>
      <w:jc w:val="center"/>
    </w:pPr>
    <w:rPr>
      <w:rFonts w:ascii="Times New Roman" w:hAnsi="Times New Roman"/>
      <w:b/>
      <w:noProof/>
      <w:kern w:val="0"/>
      <w:sz w:val="32"/>
    </w:rPr>
  </w:style>
  <w:style w:type="paragraph" w:customStyle="1" w:styleId="Coverauthorstyle">
    <w:name w:val="Cover author style"/>
    <w:basedOn w:val="Normal"/>
    <w:pPr>
      <w:widowControl/>
      <w:spacing w:after="100"/>
      <w:jc w:val="left"/>
    </w:pPr>
    <w:rPr>
      <w:rFonts w:ascii="Helvetica" w:hAnsi="Helvetica"/>
      <w:b/>
      <w:noProof/>
      <w:kern w:val="0"/>
      <w:sz w:val="22"/>
    </w:rPr>
  </w:style>
  <w:style w:type="paragraph" w:styleId="NormalIndent">
    <w:name w:val="Normal Indent"/>
    <w:basedOn w:val="Normal"/>
    <w:pPr>
      <w:ind w:left="851"/>
    </w:pPr>
  </w:style>
  <w:style w:type="paragraph" w:styleId="BodyText2">
    <w:name w:val="Body Text 2"/>
    <w:basedOn w:val="Normal"/>
    <w:rPr>
      <w:rFonts w:ascii="Times New Roman" w:hAnsi="Times New Roman"/>
      <w:sz w:val="24"/>
    </w:rPr>
  </w:style>
  <w:style w:type="paragraph" w:styleId="Header">
    <w:name w:val="header"/>
    <w:basedOn w:val="Normal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Pr>
      <w:rFonts w:ascii="Arial" w:eastAsia="MS Gothic" w:hAnsi="Arial"/>
      <w:sz w:val="18"/>
      <w:szCs w:val="18"/>
    </w:rPr>
  </w:style>
  <w:style w:type="character" w:customStyle="1" w:styleId="BobKennedy">
    <w:name w:val="Bob Kennedy"/>
    <w:semiHidden/>
    <w:rsid w:val="007E544C"/>
    <w:rPr>
      <w:rFonts w:ascii="Arial" w:hAnsi="Arial" w:cs="Arial"/>
      <w:color w:val="000080"/>
      <w:sz w:val="20"/>
      <w:szCs w:val="20"/>
    </w:rPr>
  </w:style>
  <w:style w:type="character" w:styleId="Emphasis">
    <w:name w:val="Emphasis"/>
    <w:qFormat/>
    <w:rsid w:val="004B30F2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5863"/>
    <w:rPr>
      <w:sz w:val="20"/>
      <w:lang w:val="en-US" w:eastAsia="x-none"/>
    </w:rPr>
  </w:style>
  <w:style w:type="character" w:customStyle="1" w:styleId="FootnoteTextChar">
    <w:name w:val="Footnote Text Char"/>
    <w:link w:val="FootnoteText"/>
    <w:uiPriority w:val="99"/>
    <w:semiHidden/>
    <w:rsid w:val="00925863"/>
    <w:rPr>
      <w:kern w:val="2"/>
      <w:lang w:val="en-US"/>
    </w:rPr>
  </w:style>
  <w:style w:type="character" w:styleId="FootnoteReference">
    <w:name w:val="footnote reference"/>
    <w:uiPriority w:val="99"/>
    <w:semiHidden/>
    <w:unhideWhenUsed/>
    <w:rsid w:val="00925863"/>
    <w:rPr>
      <w:vertAlign w:val="superscript"/>
    </w:rPr>
  </w:style>
  <w:style w:type="paragraph" w:styleId="ListParagraph">
    <w:name w:val="List Paragraph"/>
    <w:basedOn w:val="Normal"/>
    <w:uiPriority w:val="34"/>
    <w:qFormat/>
    <w:rsid w:val="000F1089"/>
    <w:pPr>
      <w:ind w:left="720"/>
    </w:pPr>
  </w:style>
  <w:style w:type="paragraph" w:customStyle="1" w:styleId="Default">
    <w:name w:val="Default"/>
    <w:rsid w:val="00C1201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F014F-1773-467E-B095-FE07165C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List of Documents－Stock Assessment Group (SAG)</vt:lpstr>
      <vt:lpstr>List of Documents－Stock Assessment Group (SAG)</vt:lpstr>
    </vt:vector>
  </TitlesOfParts>
  <Company>HP</Company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Documents－Stock Assessment Group (SAG)</dc:title>
  <dc:subject/>
  <dc:creator>ｐｃ</dc:creator>
  <cp:keywords/>
  <cp:lastModifiedBy>Akira</cp:lastModifiedBy>
  <cp:revision>2</cp:revision>
  <cp:lastPrinted>2013-09-24T00:11:00Z</cp:lastPrinted>
  <dcterms:created xsi:type="dcterms:W3CDTF">2014-10-07T19:31:00Z</dcterms:created>
  <dcterms:modified xsi:type="dcterms:W3CDTF">2014-10-07T19:31:00Z</dcterms:modified>
</cp:coreProperties>
</file>